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68E2" w14:textId="77777777" w:rsidR="00641054" w:rsidRPr="008308E2" w:rsidRDefault="009974F8" w:rsidP="008308E2">
      <w:pPr>
        <w:autoSpaceDE/>
        <w:autoSpaceDN/>
        <w:adjustRightInd/>
        <w:spacing w:after="0"/>
        <w:ind w:right="-330"/>
        <w:rPr>
          <w:rFonts w:cs="Arial"/>
        </w:rPr>
        <w:sectPr w:rsidR="00641054" w:rsidRPr="008308E2" w:rsidSect="00B81DFC">
          <w:headerReference w:type="default" r:id="rId8"/>
          <w:footerReference w:type="default" r:id="rId9"/>
          <w:headerReference w:type="first" r:id="rId10"/>
          <w:pgSz w:w="11900" w:h="16840" w:code="9"/>
          <w:pgMar w:top="1361" w:right="1361" w:bottom="1361" w:left="1361" w:header="709" w:footer="709" w:gutter="0"/>
          <w:cols w:space="292"/>
          <w:titlePg/>
          <w:docGrid w:linePitch="326"/>
        </w:sectPr>
      </w:pPr>
      <w:r w:rsidRPr="008308E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BC933" wp14:editId="1FC2719C">
                <wp:simplePos x="0" y="0"/>
                <wp:positionH relativeFrom="column">
                  <wp:posOffset>-464185</wp:posOffset>
                </wp:positionH>
                <wp:positionV relativeFrom="paragraph">
                  <wp:posOffset>5765165</wp:posOffset>
                </wp:positionV>
                <wp:extent cx="7002145" cy="2209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853D9" w14:textId="77777777" w:rsidR="00291D41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6B5A5D0" w14:textId="77777777" w:rsidR="00291D41" w:rsidRPr="0037393E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1A711AD" w14:textId="77777777" w:rsidR="00291D41" w:rsidRDefault="00291D41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Matters</w:t>
                            </w:r>
                          </w:p>
                          <w:p w14:paraId="715DF016" w14:textId="77777777" w:rsidR="008308E2" w:rsidRDefault="008308E2" w:rsidP="0037393E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Update on the County Council</w:t>
                            </w:r>
                            <w:r w:rsidR="0067629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's Reserves Position as at 31</w:t>
                            </w:r>
                            <w:r w:rsidR="0067629B" w:rsidRPr="0067629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="0067629B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December</w:t>
                            </w:r>
                            <w:r w:rsidR="00E66899"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BC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55pt;margin-top:453.95pt;width:551.3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5huA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" filled="f" stroked="f">
                <v:textbox>
                  <w:txbxContent>
                    <w:p w14:paraId="69F853D9" w14:textId="77777777" w:rsidR="00291D41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6B5A5D0" w14:textId="77777777" w:rsidR="00291D41" w:rsidRPr="0037393E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1A711AD" w14:textId="77777777" w:rsidR="00291D41" w:rsidRDefault="00291D41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Money Matters</w:t>
                      </w:r>
                    </w:p>
                    <w:p w14:paraId="715DF016" w14:textId="77777777" w:rsidR="008308E2" w:rsidRDefault="008308E2" w:rsidP="0037393E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Update on the County Council</w:t>
                      </w:r>
                      <w:r w:rsidR="0067629B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's Reserves Position as at 31</w:t>
                      </w:r>
                      <w:r w:rsidR="0067629B" w:rsidRPr="0067629B">
                        <w:rPr>
                          <w:rFonts w:cs="Arial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="0067629B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 xml:space="preserve"> December</w:t>
                      </w:r>
                      <w:r w:rsidR="00E66899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5"/>
        <w:gridCol w:w="2311"/>
      </w:tblGrid>
      <w:tr w:rsidR="00A31B9F" w14:paraId="1B9D2DA0" w14:textId="77777777" w:rsidTr="00FC66D8">
        <w:trPr>
          <w:jc w:val="center"/>
        </w:trPr>
        <w:tc>
          <w:tcPr>
            <w:tcW w:w="6705" w:type="dxa"/>
          </w:tcPr>
          <w:p w14:paraId="67995C6C" w14:textId="77777777"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14:paraId="017B8F87" w14:textId="77777777"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775EA">
              <w:rPr>
                <w:rFonts w:cs="Arial"/>
                <w:b/>
                <w:bCs/>
                <w:sz w:val="26"/>
                <w:szCs w:val="26"/>
              </w:rPr>
              <w:t>Contents</w:t>
            </w:r>
          </w:p>
          <w:p w14:paraId="7C3DDDEB" w14:textId="77777777"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2311" w:type="dxa"/>
          </w:tcPr>
          <w:p w14:paraId="6C778332" w14:textId="77777777" w:rsidR="00A31B9F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14:paraId="3FF10016" w14:textId="77777777" w:rsidR="00A31B9F" w:rsidRPr="00E775EA" w:rsidRDefault="00A31B9F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E775EA">
              <w:rPr>
                <w:rFonts w:cs="Arial"/>
                <w:b/>
                <w:bCs/>
                <w:sz w:val="26"/>
                <w:szCs w:val="26"/>
              </w:rPr>
              <w:t>Page</w:t>
            </w:r>
          </w:p>
        </w:tc>
      </w:tr>
      <w:tr w:rsidR="00A31B9F" w14:paraId="7937FF5A" w14:textId="77777777" w:rsidTr="00FC66D8">
        <w:trPr>
          <w:jc w:val="center"/>
        </w:trPr>
        <w:tc>
          <w:tcPr>
            <w:tcW w:w="6705" w:type="dxa"/>
          </w:tcPr>
          <w:p w14:paraId="77EC2099" w14:textId="77777777" w:rsidR="00A31B9F" w:rsidRDefault="00A31B9F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38AB86BE" w14:textId="77777777" w:rsidR="004532BC" w:rsidRDefault="004532BC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Introduction</w:t>
            </w:r>
          </w:p>
          <w:p w14:paraId="275CF5ED" w14:textId="77777777" w:rsidR="004532BC" w:rsidRPr="0071029A" w:rsidRDefault="004532BC" w:rsidP="009A5787">
            <w:pPr>
              <w:tabs>
                <w:tab w:val="left" w:pos="738"/>
                <w:tab w:val="left" w:pos="880"/>
                <w:tab w:val="left" w:pos="1777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345342D7" w14:textId="77777777" w:rsidR="00FC66D8" w:rsidRPr="0071029A" w:rsidRDefault="00FC66D8" w:rsidP="00FC66D8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</w:tr>
      <w:tr w:rsidR="00A31B9F" w14:paraId="4143DE0F" w14:textId="77777777" w:rsidTr="00FC66D8">
        <w:trPr>
          <w:jc w:val="center"/>
        </w:trPr>
        <w:tc>
          <w:tcPr>
            <w:tcW w:w="6705" w:type="dxa"/>
          </w:tcPr>
          <w:p w14:paraId="744C2A4F" w14:textId="77777777" w:rsidR="00A31B9F" w:rsidRDefault="00A31B9F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29001A67" w14:textId="77777777" w:rsidR="004532BC" w:rsidRDefault="004532BC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Summary</w:t>
            </w:r>
          </w:p>
          <w:p w14:paraId="0401A515" w14:textId="77777777" w:rsidR="004532BC" w:rsidRPr="0071029A" w:rsidRDefault="004532BC" w:rsidP="009A5787">
            <w:pPr>
              <w:tabs>
                <w:tab w:val="left" w:pos="738"/>
                <w:tab w:val="left" w:pos="1387"/>
                <w:tab w:val="left" w:pos="176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4E26CAEE" w14:textId="77777777" w:rsidR="004E2AC4" w:rsidRPr="0071029A" w:rsidRDefault="002012C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</w:tr>
      <w:tr w:rsidR="00A31B9F" w14:paraId="1FBDF695" w14:textId="77777777" w:rsidTr="00FC66D8">
        <w:trPr>
          <w:jc w:val="center"/>
        </w:trPr>
        <w:tc>
          <w:tcPr>
            <w:tcW w:w="6705" w:type="dxa"/>
          </w:tcPr>
          <w:p w14:paraId="63AAB7DE" w14:textId="77777777" w:rsidR="00A31B9F" w:rsidRDefault="00A31B9F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275CB85C" w14:textId="77777777" w:rsidR="004532BC" w:rsidRDefault="004532B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>Reserves</w:t>
            </w:r>
          </w:p>
          <w:p w14:paraId="2B196CCD" w14:textId="77777777" w:rsidR="004532BC" w:rsidRPr="0071029A" w:rsidRDefault="004532B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096FC3FA" w14:textId="77777777" w:rsidR="004E2AC4" w:rsidRPr="0071029A" w:rsidRDefault="002012C2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426D32" w14:paraId="05BF98BF" w14:textId="77777777" w:rsidTr="00FC66D8">
        <w:trPr>
          <w:jc w:val="center"/>
        </w:trPr>
        <w:tc>
          <w:tcPr>
            <w:tcW w:w="6705" w:type="dxa"/>
          </w:tcPr>
          <w:p w14:paraId="55A984C6" w14:textId="77777777"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6357872E" w14:textId="77777777"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</w:r>
            <w:r w:rsidR="00297702">
              <w:rPr>
                <w:rFonts w:cs="Arial"/>
                <w:b/>
                <w:bCs/>
              </w:rPr>
              <w:t>Impact of 2015/16 Outturn Forecast</w:t>
            </w:r>
          </w:p>
          <w:p w14:paraId="2FE9D517" w14:textId="77777777" w:rsidR="00426D32" w:rsidRDefault="00426D3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38A0A3FB" w14:textId="77777777" w:rsidR="004E2AC4" w:rsidRDefault="006222BB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AF109C" w14:paraId="703E3F21" w14:textId="77777777" w:rsidTr="00FC66D8">
        <w:trPr>
          <w:jc w:val="center"/>
        </w:trPr>
        <w:tc>
          <w:tcPr>
            <w:tcW w:w="6705" w:type="dxa"/>
          </w:tcPr>
          <w:p w14:paraId="22539295" w14:textId="77777777" w:rsidR="00AF109C" w:rsidRDefault="00AF109C" w:rsidP="00AF109C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7B2B24A2" w14:textId="77777777" w:rsidR="00AF109C" w:rsidRDefault="00AF109C" w:rsidP="00AF109C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Transitional Reserve and capital borrowing</w:t>
            </w:r>
          </w:p>
          <w:p w14:paraId="41295822" w14:textId="77777777" w:rsidR="00AF109C" w:rsidRDefault="00AF109C" w:rsidP="00AF109C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6A26DECD" w14:textId="77777777" w:rsidR="00AF109C" w:rsidRDefault="00AF109C" w:rsidP="00AF109C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297702" w14:paraId="4E56EFD5" w14:textId="77777777" w:rsidTr="00FC66D8">
        <w:trPr>
          <w:jc w:val="center"/>
        </w:trPr>
        <w:tc>
          <w:tcPr>
            <w:tcW w:w="6705" w:type="dxa"/>
          </w:tcPr>
          <w:p w14:paraId="1F08BAF8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2CF977D0" w14:textId="77777777" w:rsidR="00297702" w:rsidRDefault="00AF109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297702">
              <w:rPr>
                <w:rFonts w:cs="Arial"/>
                <w:b/>
                <w:bCs/>
              </w:rPr>
              <w:t>.</w:t>
            </w:r>
            <w:r w:rsidR="00297702">
              <w:rPr>
                <w:rFonts w:cs="Arial"/>
                <w:b/>
                <w:bCs/>
              </w:rPr>
              <w:tab/>
              <w:t>Conclusion</w:t>
            </w:r>
          </w:p>
          <w:p w14:paraId="7976377B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473B707B" w14:textId="77777777" w:rsidR="004E2AC4" w:rsidRDefault="0087120B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</w:tr>
      <w:tr w:rsidR="00297702" w14:paraId="536689CD" w14:textId="77777777" w:rsidTr="00FC66D8">
        <w:trPr>
          <w:jc w:val="center"/>
        </w:trPr>
        <w:tc>
          <w:tcPr>
            <w:tcW w:w="6705" w:type="dxa"/>
          </w:tcPr>
          <w:p w14:paraId="783B8D5A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1FAAA0C5" w14:textId="77777777" w:rsidR="00297702" w:rsidRDefault="00AF109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97702">
              <w:rPr>
                <w:rFonts w:cs="Arial"/>
                <w:b/>
                <w:bCs/>
              </w:rPr>
              <w:t>.</w:t>
            </w:r>
            <w:r w:rsidR="00297702">
              <w:rPr>
                <w:rFonts w:cs="Arial"/>
                <w:b/>
                <w:bCs/>
              </w:rPr>
              <w:tab/>
              <w:t xml:space="preserve">Annex A – </w:t>
            </w:r>
            <w:r w:rsidR="00297702">
              <w:rPr>
                <w:rFonts w:eastAsia="Arial Unicode MS" w:cs="Arial"/>
                <w:b/>
                <w:u w:color="000000"/>
                <w:lang w:eastAsia="en-GB"/>
              </w:rPr>
              <w:t>Strategic Investment Reserve</w:t>
            </w:r>
          </w:p>
          <w:p w14:paraId="6FE66EC5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76346729" w14:textId="77777777" w:rsidR="004E2AC4" w:rsidRDefault="0087120B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</w:tr>
      <w:tr w:rsidR="00297702" w14:paraId="547FA09E" w14:textId="77777777" w:rsidTr="00FC66D8">
        <w:trPr>
          <w:jc w:val="center"/>
        </w:trPr>
        <w:tc>
          <w:tcPr>
            <w:tcW w:w="6705" w:type="dxa"/>
          </w:tcPr>
          <w:p w14:paraId="1FC16BB2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5A4D468E" w14:textId="77777777" w:rsidR="00E40C1B" w:rsidRDefault="00AF109C" w:rsidP="00297702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left="738" w:right="-46" w:hanging="738"/>
              <w:rPr>
                <w:rFonts w:eastAsia="Arial Unicode MS" w:cs="Arial"/>
                <w:b/>
                <w:u w:color="000000"/>
                <w:lang w:eastAsia="en-GB"/>
              </w:rPr>
            </w:pPr>
            <w:r>
              <w:rPr>
                <w:rFonts w:cs="Arial"/>
                <w:b/>
                <w:bCs/>
              </w:rPr>
              <w:t>8</w:t>
            </w:r>
            <w:r w:rsidR="00297702">
              <w:rPr>
                <w:rFonts w:cs="Arial"/>
                <w:b/>
                <w:bCs/>
              </w:rPr>
              <w:t>.</w:t>
            </w:r>
            <w:r w:rsidR="00297702">
              <w:rPr>
                <w:rFonts w:cs="Arial"/>
                <w:b/>
                <w:bCs/>
              </w:rPr>
              <w:tab/>
              <w:t xml:space="preserve">Annex B – </w:t>
            </w:r>
            <w:r w:rsidR="00297702">
              <w:rPr>
                <w:rFonts w:eastAsia="Arial Unicode MS" w:cs="Arial"/>
                <w:b/>
                <w:u w:color="000000"/>
                <w:lang w:eastAsia="en-GB"/>
              </w:rPr>
              <w:t xml:space="preserve">Downsizing and Risk </w:t>
            </w:r>
          </w:p>
          <w:p w14:paraId="6198ACF2" w14:textId="77777777" w:rsidR="00297702" w:rsidRDefault="00E40C1B" w:rsidP="00297702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left="738" w:right="-46" w:hanging="738"/>
              <w:rPr>
                <w:rFonts w:cs="Arial"/>
                <w:b/>
                <w:bCs/>
              </w:rPr>
            </w:pPr>
            <w:r>
              <w:rPr>
                <w:rFonts w:eastAsia="Arial Unicode MS" w:cs="Arial"/>
                <w:b/>
                <w:u w:color="000000"/>
                <w:lang w:eastAsia="en-GB"/>
              </w:rPr>
              <w:t xml:space="preserve">           </w:t>
            </w:r>
            <w:r w:rsidR="00297702">
              <w:rPr>
                <w:rFonts w:eastAsia="Arial Unicode MS" w:cs="Arial"/>
                <w:b/>
                <w:u w:color="000000"/>
                <w:lang w:eastAsia="en-GB"/>
              </w:rPr>
              <w:t>Management Reserve</w:t>
            </w:r>
            <w:r w:rsidR="00297702">
              <w:rPr>
                <w:rFonts w:cs="Arial"/>
                <w:b/>
                <w:bCs/>
              </w:rPr>
              <w:t xml:space="preserve"> </w:t>
            </w:r>
          </w:p>
          <w:p w14:paraId="392FA751" w14:textId="77777777" w:rsidR="00297702" w:rsidRDefault="00297702" w:rsidP="00297702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left="738" w:right="-46" w:hanging="738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74329B60" w14:textId="77777777" w:rsidR="004E2AC4" w:rsidRDefault="0087120B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</w:p>
        </w:tc>
      </w:tr>
      <w:tr w:rsidR="00297702" w14:paraId="24214B0F" w14:textId="77777777" w:rsidTr="00FC66D8">
        <w:trPr>
          <w:jc w:val="center"/>
        </w:trPr>
        <w:tc>
          <w:tcPr>
            <w:tcW w:w="6705" w:type="dxa"/>
          </w:tcPr>
          <w:p w14:paraId="3F41B938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  <w:p w14:paraId="576B81CB" w14:textId="77777777" w:rsidR="00297702" w:rsidRDefault="00AF109C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297702">
              <w:rPr>
                <w:rFonts w:cs="Arial"/>
                <w:b/>
                <w:bCs/>
              </w:rPr>
              <w:t>.</w:t>
            </w:r>
            <w:r w:rsidR="00297702">
              <w:rPr>
                <w:rFonts w:cs="Arial"/>
                <w:b/>
                <w:bCs/>
              </w:rPr>
              <w:tab/>
              <w:t xml:space="preserve">Annex C – </w:t>
            </w:r>
            <w:r w:rsidR="00031CD4">
              <w:rPr>
                <w:rFonts w:eastAsia="Arial Unicode MS" w:cs="Arial"/>
                <w:b/>
                <w:u w:color="000000"/>
                <w:lang w:eastAsia="en-GB"/>
              </w:rPr>
              <w:t>Service</w:t>
            </w:r>
            <w:r w:rsidR="00297702">
              <w:rPr>
                <w:rFonts w:eastAsia="Arial Unicode MS" w:cs="Arial"/>
                <w:b/>
                <w:u w:color="000000"/>
                <w:lang w:eastAsia="en-GB"/>
              </w:rPr>
              <w:t xml:space="preserve"> Reserve</w:t>
            </w:r>
            <w:r w:rsidR="00E40C1B">
              <w:rPr>
                <w:rFonts w:eastAsia="Arial Unicode MS" w:cs="Arial"/>
                <w:b/>
                <w:u w:color="000000"/>
                <w:lang w:eastAsia="en-GB"/>
              </w:rPr>
              <w:t>s</w:t>
            </w:r>
          </w:p>
          <w:p w14:paraId="525F2A87" w14:textId="77777777" w:rsidR="00297702" w:rsidRDefault="00297702" w:rsidP="009A5787">
            <w:pPr>
              <w:tabs>
                <w:tab w:val="left" w:pos="738"/>
                <w:tab w:val="left" w:pos="1387"/>
                <w:tab w:val="left" w:pos="1762"/>
                <w:tab w:val="left" w:pos="1872"/>
              </w:tabs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14:paraId="27EF5875" w14:textId="77777777" w:rsidR="004E2AC4" w:rsidRDefault="0087120B" w:rsidP="009A5787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</w:tr>
    </w:tbl>
    <w:p w14:paraId="2C494E06" w14:textId="77777777" w:rsidR="00A31B9F" w:rsidRDefault="00A31B9F">
      <w:pPr>
        <w:autoSpaceDE/>
        <w:autoSpaceDN/>
        <w:adjustRightInd/>
        <w:spacing w:after="0"/>
        <w:jc w:val="left"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br w:type="page"/>
      </w:r>
    </w:p>
    <w:p w14:paraId="13431246" w14:textId="77777777"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sz w:val="32"/>
          <w:szCs w:val="32"/>
          <w:lang w:eastAsia="en-GB"/>
        </w:rPr>
      </w:pPr>
      <w:r w:rsidRPr="008308E2">
        <w:rPr>
          <w:rFonts w:eastAsia="Times New Roman" w:cs="Arial"/>
          <w:sz w:val="32"/>
          <w:szCs w:val="32"/>
          <w:lang w:eastAsia="en-GB"/>
        </w:rPr>
        <w:lastRenderedPageBreak/>
        <w:t>Money Matters – Update on the County Council's Reserves Position for 2015/16</w:t>
      </w:r>
    </w:p>
    <w:p w14:paraId="0F20D5F5" w14:textId="77777777" w:rsidR="008308E2" w:rsidRPr="008308E2" w:rsidRDefault="008308E2" w:rsidP="008308E2">
      <w:pPr>
        <w:tabs>
          <w:tab w:val="left" w:pos="851"/>
          <w:tab w:val="left" w:pos="1418"/>
        </w:tabs>
        <w:spacing w:after="0"/>
        <w:ind w:right="-330"/>
        <w:rPr>
          <w:rFonts w:eastAsia="Times New Roman" w:cs="Arial"/>
          <w:lang w:eastAsia="en-GB"/>
        </w:rPr>
      </w:pPr>
    </w:p>
    <w:p w14:paraId="79BCD943" w14:textId="77777777" w:rsidR="008308E2" w:rsidRPr="008308E2" w:rsidRDefault="008308E2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b/>
          <w:lang w:eastAsia="en-GB"/>
        </w:rPr>
      </w:pPr>
      <w:r w:rsidRPr="008308E2">
        <w:rPr>
          <w:rFonts w:eastAsia="Times New Roman" w:cs="Arial"/>
          <w:b/>
          <w:lang w:eastAsia="en-GB"/>
        </w:rPr>
        <w:t>1</w:t>
      </w:r>
      <w:r w:rsidR="004532BC">
        <w:rPr>
          <w:rFonts w:eastAsia="Times New Roman" w:cs="Arial"/>
          <w:b/>
          <w:lang w:eastAsia="en-GB"/>
        </w:rPr>
        <w:t>.</w:t>
      </w:r>
      <w:r w:rsidRPr="008308E2">
        <w:rPr>
          <w:rFonts w:eastAsia="Times New Roman" w:cs="Arial"/>
          <w:b/>
          <w:lang w:eastAsia="en-GB"/>
        </w:rPr>
        <w:tab/>
        <w:t>Introduction</w:t>
      </w:r>
    </w:p>
    <w:p w14:paraId="5CE7E78F" w14:textId="77777777" w:rsidR="008308E2" w:rsidRPr="008308E2" w:rsidRDefault="008308E2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b/>
          <w:lang w:eastAsia="en-GB"/>
        </w:rPr>
      </w:pPr>
    </w:p>
    <w:p w14:paraId="47AB3B7B" w14:textId="40EB51D9" w:rsidR="003A58CB" w:rsidRPr="00027186" w:rsidRDefault="008308E2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  <w:r w:rsidRPr="00027186">
        <w:rPr>
          <w:rFonts w:eastAsia="Times New Roman" w:cs="Arial"/>
          <w:lang w:eastAsia="en-GB"/>
        </w:rPr>
        <w:t xml:space="preserve">This report sets out </w:t>
      </w:r>
      <w:r w:rsidR="00A53B2B" w:rsidRPr="00027186">
        <w:rPr>
          <w:rFonts w:eastAsia="Times New Roman" w:cs="Arial"/>
          <w:lang w:eastAsia="en-GB"/>
        </w:rPr>
        <w:t>the</w:t>
      </w:r>
      <w:r w:rsidR="000211C6" w:rsidRPr="00027186">
        <w:rPr>
          <w:rFonts w:eastAsia="Times New Roman" w:cs="Arial"/>
          <w:lang w:eastAsia="en-GB"/>
        </w:rPr>
        <w:t xml:space="preserve"> </w:t>
      </w:r>
      <w:r w:rsidR="00F9127B" w:rsidRPr="00027186">
        <w:rPr>
          <w:rFonts w:eastAsia="Times New Roman" w:cs="Arial"/>
          <w:lang w:eastAsia="en-GB"/>
        </w:rPr>
        <w:t>reserve</w:t>
      </w:r>
      <w:r w:rsidR="0061204C" w:rsidRPr="00027186">
        <w:rPr>
          <w:rFonts w:eastAsia="Times New Roman" w:cs="Arial"/>
          <w:lang w:eastAsia="en-GB"/>
        </w:rPr>
        <w:t>s</w:t>
      </w:r>
      <w:r w:rsidR="00F9127B" w:rsidRPr="00027186">
        <w:rPr>
          <w:rFonts w:eastAsia="Times New Roman" w:cs="Arial"/>
          <w:lang w:eastAsia="en-GB"/>
        </w:rPr>
        <w:t xml:space="preserve"> </w:t>
      </w:r>
      <w:r w:rsidRPr="00027186">
        <w:rPr>
          <w:rFonts w:eastAsia="Times New Roman" w:cs="Arial"/>
          <w:lang w:eastAsia="en-GB"/>
        </w:rPr>
        <w:t xml:space="preserve">position </w:t>
      </w:r>
      <w:r w:rsidR="00A53B2B" w:rsidRPr="00027186">
        <w:rPr>
          <w:rFonts w:eastAsia="Times New Roman" w:cs="Arial"/>
          <w:lang w:eastAsia="en-GB"/>
        </w:rPr>
        <w:t xml:space="preserve">in line with the current budget monitoring </w:t>
      </w:r>
      <w:r w:rsidR="00A06801" w:rsidRPr="00027186">
        <w:rPr>
          <w:rFonts w:eastAsia="Times New Roman" w:cs="Arial"/>
          <w:lang w:eastAsia="en-GB"/>
        </w:rPr>
        <w:t>r</w:t>
      </w:r>
      <w:r w:rsidR="00A53B2B" w:rsidRPr="00027186">
        <w:rPr>
          <w:rFonts w:eastAsia="Times New Roman" w:cs="Arial"/>
          <w:lang w:eastAsia="en-GB"/>
        </w:rPr>
        <w:t>eport.</w:t>
      </w:r>
      <w:r w:rsidR="005030EA" w:rsidRPr="00027186">
        <w:rPr>
          <w:rFonts w:eastAsia="Times New Roman" w:cs="Arial"/>
          <w:lang w:eastAsia="en-GB"/>
        </w:rPr>
        <w:t xml:space="preserve"> </w:t>
      </w:r>
      <w:r w:rsidR="003A58CB" w:rsidRPr="00027186">
        <w:rPr>
          <w:rFonts w:eastAsia="Times New Roman" w:cs="Arial"/>
          <w:lang w:eastAsia="en-GB"/>
        </w:rPr>
        <w:t>The Money Matters Report agreed at Cabinet on 26</w:t>
      </w:r>
      <w:r w:rsidR="003A58CB" w:rsidRPr="00027186">
        <w:rPr>
          <w:rFonts w:eastAsia="Times New Roman" w:cs="Arial"/>
          <w:vertAlign w:val="superscript"/>
          <w:lang w:eastAsia="en-GB"/>
        </w:rPr>
        <w:t>th</w:t>
      </w:r>
      <w:r w:rsidR="003A58CB" w:rsidRPr="00027186">
        <w:rPr>
          <w:rFonts w:eastAsia="Times New Roman" w:cs="Arial"/>
          <w:lang w:eastAsia="en-GB"/>
        </w:rPr>
        <w:t xml:space="preserve"> November 2015 identified an estimated reserves requirement of £144m being needed to support the revenue budgets in 2016/17 and 2017/18. This reflect</w:t>
      </w:r>
      <w:r w:rsidR="004439D4" w:rsidRPr="00027186">
        <w:rPr>
          <w:rFonts w:eastAsia="Times New Roman" w:cs="Arial"/>
          <w:lang w:eastAsia="en-GB"/>
        </w:rPr>
        <w:t>ed</w:t>
      </w:r>
      <w:r w:rsidR="003A58CB" w:rsidRPr="00027186">
        <w:rPr>
          <w:rFonts w:eastAsia="Times New Roman" w:cs="Arial"/>
          <w:lang w:eastAsia="en-GB"/>
        </w:rPr>
        <w:t xml:space="preserve"> both the </w:t>
      </w:r>
      <w:r w:rsidR="00762680" w:rsidRPr="00027186">
        <w:rPr>
          <w:rFonts w:eastAsia="Times New Roman" w:cs="Arial"/>
          <w:lang w:eastAsia="en-GB"/>
        </w:rPr>
        <w:t>Risk R</w:t>
      </w:r>
      <w:r w:rsidR="00D73CD0" w:rsidRPr="00027186">
        <w:rPr>
          <w:rFonts w:eastAsia="Times New Roman" w:cs="Arial"/>
          <w:lang w:eastAsia="en-GB"/>
        </w:rPr>
        <w:t>eserve position and the estimated funding gap based on the MTFS less identified savings</w:t>
      </w:r>
      <w:r w:rsidR="00762680" w:rsidRPr="00027186">
        <w:rPr>
          <w:rFonts w:eastAsia="Times New Roman" w:cs="Arial"/>
          <w:lang w:eastAsia="en-GB"/>
        </w:rPr>
        <w:t>. F</w:t>
      </w:r>
      <w:r w:rsidR="004439D4" w:rsidRPr="00027186">
        <w:rPr>
          <w:rFonts w:eastAsia="Times New Roman" w:cs="Arial"/>
          <w:lang w:eastAsia="en-GB"/>
        </w:rPr>
        <w:t>ollowing the finance settlement</w:t>
      </w:r>
      <w:r w:rsidR="000B002C" w:rsidRPr="00027186">
        <w:rPr>
          <w:rFonts w:eastAsia="Times New Roman" w:cs="Arial"/>
          <w:lang w:eastAsia="en-GB"/>
        </w:rPr>
        <w:t>, the requirement</w:t>
      </w:r>
      <w:r w:rsidR="0018066A" w:rsidRPr="00027186">
        <w:rPr>
          <w:rFonts w:eastAsia="Times New Roman" w:cs="Arial"/>
          <w:lang w:eastAsia="en-GB"/>
        </w:rPr>
        <w:t xml:space="preserve"> has increased</w:t>
      </w:r>
      <w:r w:rsidR="00B52869" w:rsidRPr="00027186">
        <w:rPr>
          <w:rFonts w:eastAsia="Times New Roman" w:cs="Arial"/>
          <w:lang w:eastAsia="en-GB"/>
        </w:rPr>
        <w:t xml:space="preserve"> to </w:t>
      </w:r>
      <w:r w:rsidR="0018066A" w:rsidRPr="00027186">
        <w:rPr>
          <w:rFonts w:eastAsia="Times New Roman" w:cs="Arial"/>
          <w:lang w:eastAsia="en-GB"/>
        </w:rPr>
        <w:t>£145</w:t>
      </w:r>
      <w:r w:rsidR="000B002C" w:rsidRPr="00027186">
        <w:rPr>
          <w:rFonts w:eastAsia="Times New Roman" w:cs="Arial"/>
          <w:lang w:eastAsia="en-GB"/>
        </w:rPr>
        <w:t>m.</w:t>
      </w:r>
    </w:p>
    <w:p w14:paraId="0F15B20E" w14:textId="77777777" w:rsidR="003A58CB" w:rsidRPr="00027186" w:rsidRDefault="003A58CB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</w:p>
    <w:p w14:paraId="4E5C8ACB" w14:textId="77777777" w:rsidR="00DF3D74" w:rsidRPr="00027186" w:rsidRDefault="00953E3D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  <w:r w:rsidRPr="00027186">
        <w:rPr>
          <w:rFonts w:eastAsia="Times New Roman" w:cs="Arial"/>
          <w:lang w:eastAsia="en-GB"/>
        </w:rPr>
        <w:t>This report states the existi</w:t>
      </w:r>
      <w:r w:rsidR="004421CE" w:rsidRPr="00027186">
        <w:rPr>
          <w:rFonts w:eastAsia="Times New Roman" w:cs="Arial"/>
          <w:lang w:eastAsia="en-GB"/>
        </w:rPr>
        <w:t>ng plan of reserves commitments plus</w:t>
      </w:r>
      <w:r w:rsidR="00DF3D74" w:rsidRPr="00027186">
        <w:rPr>
          <w:rFonts w:eastAsia="Times New Roman" w:cs="Arial"/>
          <w:lang w:eastAsia="en-GB"/>
        </w:rPr>
        <w:t xml:space="preserve"> </w:t>
      </w:r>
      <w:r w:rsidR="00570C8B" w:rsidRPr="00027186">
        <w:rPr>
          <w:rFonts w:eastAsia="Times New Roman" w:cs="Arial"/>
          <w:lang w:eastAsia="en-GB"/>
        </w:rPr>
        <w:t>the impact of creating the</w:t>
      </w:r>
      <w:r w:rsidR="009F3D47" w:rsidRPr="00027186">
        <w:rPr>
          <w:rFonts w:eastAsia="Times New Roman" w:cs="Arial"/>
          <w:lang w:eastAsia="en-GB"/>
        </w:rPr>
        <w:t xml:space="preserve"> Transitional Reserve. </w:t>
      </w:r>
      <w:r w:rsidR="00DF3D74" w:rsidRPr="00027186">
        <w:rPr>
          <w:rFonts w:eastAsia="Times New Roman" w:cs="Arial"/>
          <w:lang w:eastAsia="en-GB"/>
        </w:rPr>
        <w:t xml:space="preserve">In some cases, this has meant a significant change to the </w:t>
      </w:r>
      <w:r w:rsidR="00C04461" w:rsidRPr="00027186">
        <w:rPr>
          <w:rFonts w:eastAsia="Times New Roman" w:cs="Arial"/>
          <w:lang w:eastAsia="en-GB"/>
        </w:rPr>
        <w:t>original</w:t>
      </w:r>
      <w:r w:rsidR="0076182A" w:rsidRPr="00027186">
        <w:rPr>
          <w:rFonts w:eastAsia="Times New Roman" w:cs="Arial"/>
          <w:lang w:eastAsia="en-GB"/>
        </w:rPr>
        <w:t xml:space="preserve"> </w:t>
      </w:r>
      <w:r w:rsidR="00DF3D74" w:rsidRPr="00027186">
        <w:rPr>
          <w:rFonts w:eastAsia="Times New Roman" w:cs="Arial"/>
          <w:lang w:eastAsia="en-GB"/>
        </w:rPr>
        <w:t>plans for the reserves</w:t>
      </w:r>
      <w:r w:rsidR="009F3D47" w:rsidRPr="00027186">
        <w:rPr>
          <w:rFonts w:eastAsia="Times New Roman" w:cs="Arial"/>
          <w:lang w:eastAsia="en-GB"/>
        </w:rPr>
        <w:t>.</w:t>
      </w:r>
      <w:r w:rsidR="00DF3D74" w:rsidRPr="00027186">
        <w:rPr>
          <w:rFonts w:eastAsia="Times New Roman" w:cs="Arial"/>
          <w:lang w:eastAsia="en-GB"/>
        </w:rPr>
        <w:t xml:space="preserve"> </w:t>
      </w:r>
      <w:r w:rsidR="00EE0DDA" w:rsidRPr="00027186">
        <w:rPr>
          <w:rFonts w:eastAsia="Times New Roman" w:cs="Arial"/>
          <w:lang w:eastAsia="en-GB"/>
        </w:rPr>
        <w:t xml:space="preserve">The transfers to the Transitional Reserve </w:t>
      </w:r>
      <w:r w:rsidR="0061204C" w:rsidRPr="00027186">
        <w:rPr>
          <w:rFonts w:cs="Arial"/>
        </w:rPr>
        <w:t xml:space="preserve">are proposed </w:t>
      </w:r>
      <w:r w:rsidR="00EE0DDA" w:rsidRPr="00027186">
        <w:rPr>
          <w:rFonts w:cs="Arial"/>
        </w:rPr>
        <w:t>from existing reserves that do not yet have binding commitments, are reserves from non-statutory services or are reserves intended for capital funding. The capital reserves can be replaced by borrowing which will then release</w:t>
      </w:r>
      <w:r w:rsidR="0061204C" w:rsidRPr="00027186">
        <w:rPr>
          <w:rFonts w:cs="Arial"/>
        </w:rPr>
        <w:t xml:space="preserve"> these</w:t>
      </w:r>
      <w:r w:rsidR="00EE0DDA" w:rsidRPr="00027186">
        <w:rPr>
          <w:rFonts w:cs="Arial"/>
        </w:rPr>
        <w:t xml:space="preserve"> funds for the Transitional Reserve whilst also allowing the County Council to continue with its capital programme.</w:t>
      </w:r>
    </w:p>
    <w:p w14:paraId="4F456111" w14:textId="77777777" w:rsidR="00DF3D74" w:rsidRPr="00027186" w:rsidRDefault="00DF3D74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</w:p>
    <w:p w14:paraId="33A9A26B" w14:textId="77777777" w:rsidR="00953E3D" w:rsidRPr="00027186" w:rsidRDefault="00B17597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  <w:r w:rsidRPr="00027186">
        <w:rPr>
          <w:rFonts w:eastAsia="Times New Roman" w:cs="Arial"/>
          <w:lang w:eastAsia="en-GB"/>
        </w:rPr>
        <w:t>B</w:t>
      </w:r>
      <w:r w:rsidR="00DF3D74" w:rsidRPr="00027186">
        <w:rPr>
          <w:rFonts w:eastAsia="Times New Roman" w:cs="Arial"/>
          <w:lang w:eastAsia="en-GB"/>
        </w:rPr>
        <w:t>y 31</w:t>
      </w:r>
      <w:r w:rsidR="00DF3D74" w:rsidRPr="00027186">
        <w:rPr>
          <w:rFonts w:eastAsia="Times New Roman" w:cs="Arial"/>
          <w:vertAlign w:val="superscript"/>
          <w:lang w:eastAsia="en-GB"/>
        </w:rPr>
        <w:t>st</w:t>
      </w:r>
      <w:r w:rsidR="00DF3D74" w:rsidRPr="00027186">
        <w:rPr>
          <w:rFonts w:eastAsia="Times New Roman" w:cs="Arial"/>
          <w:lang w:eastAsia="en-GB"/>
        </w:rPr>
        <w:t xml:space="preserve"> March 2018</w:t>
      </w:r>
      <w:r w:rsidRPr="00027186">
        <w:rPr>
          <w:rFonts w:eastAsia="Times New Roman" w:cs="Arial"/>
          <w:lang w:eastAsia="en-GB"/>
        </w:rPr>
        <w:t xml:space="preserve"> it is expected that there will only be the £36m Co</w:t>
      </w:r>
      <w:r w:rsidR="009177CF" w:rsidRPr="00027186">
        <w:rPr>
          <w:rFonts w:eastAsia="Times New Roman" w:cs="Arial"/>
          <w:lang w:eastAsia="en-GB"/>
        </w:rPr>
        <w:t>unty Fund and a residual £20.613</w:t>
      </w:r>
      <w:r w:rsidRPr="00027186">
        <w:rPr>
          <w:rFonts w:eastAsia="Times New Roman" w:cs="Arial"/>
          <w:lang w:eastAsia="en-GB"/>
        </w:rPr>
        <w:t>m of service reserves. All other reserves will have been spent</w:t>
      </w:r>
      <w:r w:rsidR="00DF3D74" w:rsidRPr="00027186">
        <w:rPr>
          <w:rFonts w:eastAsia="Times New Roman" w:cs="Arial"/>
          <w:lang w:eastAsia="en-GB"/>
        </w:rPr>
        <w:t>.</w:t>
      </w:r>
    </w:p>
    <w:p w14:paraId="0DC8A32A" w14:textId="77777777" w:rsidR="008308E2" w:rsidRPr="00027186" w:rsidRDefault="008308E2" w:rsidP="00B60B5D">
      <w:pPr>
        <w:tabs>
          <w:tab w:val="left" w:pos="851"/>
          <w:tab w:val="left" w:pos="1418"/>
        </w:tabs>
        <w:spacing w:after="0"/>
        <w:ind w:right="-24"/>
        <w:rPr>
          <w:rFonts w:eastAsia="Times New Roman" w:cs="Arial"/>
          <w:lang w:eastAsia="en-GB"/>
        </w:rPr>
      </w:pPr>
      <w:r w:rsidRPr="00027186">
        <w:rPr>
          <w:rFonts w:eastAsia="Times New Roman" w:cs="Arial"/>
          <w:lang w:eastAsia="en-GB"/>
        </w:rPr>
        <w:t xml:space="preserve"> </w:t>
      </w:r>
    </w:p>
    <w:p w14:paraId="65282FE3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2</w:t>
      </w:r>
      <w:r w:rsidR="004532BC" w:rsidRPr="00027186">
        <w:rPr>
          <w:rFonts w:cs="Arial"/>
          <w:b/>
        </w:rPr>
        <w:t>.</w:t>
      </w:r>
      <w:r w:rsidRPr="00027186">
        <w:rPr>
          <w:rFonts w:cs="Arial"/>
          <w:b/>
        </w:rPr>
        <w:tab/>
        <w:t>Summary</w:t>
      </w:r>
    </w:p>
    <w:p w14:paraId="51C2090E" w14:textId="77777777" w:rsidR="008308E2" w:rsidRPr="00027186" w:rsidRDefault="008308E2" w:rsidP="00B60B5D">
      <w:pPr>
        <w:spacing w:after="0"/>
        <w:ind w:right="-24"/>
        <w:rPr>
          <w:rFonts w:cs="Arial"/>
        </w:rPr>
      </w:pPr>
    </w:p>
    <w:p w14:paraId="1BE24604" w14:textId="77777777" w:rsidR="000C390F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As at 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April 2015 the County Council had total reserves of £</w:t>
      </w:r>
      <w:r w:rsidR="00E65962" w:rsidRPr="00027186">
        <w:rPr>
          <w:rFonts w:cs="Arial"/>
        </w:rPr>
        <w:t>424.650m.  Of this</w:t>
      </w:r>
      <w:r w:rsidR="0017059D" w:rsidRPr="00027186">
        <w:rPr>
          <w:rFonts w:cs="Arial"/>
        </w:rPr>
        <w:t>,</w:t>
      </w:r>
      <w:r w:rsidR="00E65962" w:rsidRPr="00027186">
        <w:rPr>
          <w:rFonts w:cs="Arial"/>
        </w:rPr>
        <w:t xml:space="preserve"> £95.951</w:t>
      </w:r>
      <w:r w:rsidRPr="00027186">
        <w:rPr>
          <w:rFonts w:cs="Arial"/>
        </w:rPr>
        <w:t>m is held for schools and its use is restricted.  Therefore the County Council's reserves</w:t>
      </w:r>
      <w:r w:rsidR="00A53B2B" w:rsidRPr="00027186">
        <w:rPr>
          <w:rFonts w:cs="Arial"/>
        </w:rPr>
        <w:t xml:space="preserve"> were</w:t>
      </w:r>
      <w:r w:rsidRPr="00027186">
        <w:rPr>
          <w:rFonts w:cs="Arial"/>
        </w:rPr>
        <w:t xml:space="preserve"> £328.6</w:t>
      </w:r>
      <w:r w:rsidR="00E65962" w:rsidRPr="00027186">
        <w:rPr>
          <w:rFonts w:cs="Arial"/>
        </w:rPr>
        <w:t>99</w:t>
      </w:r>
      <w:r w:rsidRPr="00027186">
        <w:rPr>
          <w:rFonts w:cs="Arial"/>
        </w:rPr>
        <w:t xml:space="preserve">m. </w:t>
      </w:r>
      <w:r w:rsidR="002303B9" w:rsidRPr="00027186">
        <w:rPr>
          <w:rFonts w:cs="Arial"/>
        </w:rPr>
        <w:t xml:space="preserve">This </w:t>
      </w:r>
      <w:r w:rsidR="0044464F" w:rsidRPr="00027186">
        <w:rPr>
          <w:rFonts w:cs="Arial"/>
        </w:rPr>
        <w:t xml:space="preserve">total </w:t>
      </w:r>
      <w:r w:rsidR="008D1271" w:rsidRPr="00027186">
        <w:rPr>
          <w:rFonts w:cs="Arial"/>
        </w:rPr>
        <w:t>includes £65.454</w:t>
      </w:r>
      <w:r w:rsidR="002303B9" w:rsidRPr="00027186">
        <w:rPr>
          <w:rFonts w:cs="Arial"/>
        </w:rPr>
        <w:t xml:space="preserve">m of partner / non-LCC </w:t>
      </w:r>
      <w:r w:rsidR="00AF0023" w:rsidRPr="00027186">
        <w:rPr>
          <w:rFonts w:cs="Arial"/>
        </w:rPr>
        <w:t>funds held for joint projects</w:t>
      </w:r>
      <w:r w:rsidR="00F32D77" w:rsidRPr="00027186">
        <w:rPr>
          <w:rFonts w:cs="Arial"/>
        </w:rPr>
        <w:t xml:space="preserve"> which are included in the figures shown within this report.</w:t>
      </w:r>
    </w:p>
    <w:p w14:paraId="52A4B875" w14:textId="77777777" w:rsidR="008308E2" w:rsidRPr="00027186" w:rsidRDefault="008308E2" w:rsidP="00B60B5D">
      <w:pPr>
        <w:spacing w:after="0"/>
        <w:ind w:right="-24"/>
        <w:rPr>
          <w:rFonts w:cs="Arial"/>
        </w:rPr>
      </w:pPr>
    </w:p>
    <w:p w14:paraId="14453267" w14:textId="459A887A" w:rsidR="008A18BE" w:rsidRPr="00027186" w:rsidRDefault="00593CCA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So far this year, </w:t>
      </w:r>
      <w:r w:rsidR="005E5A5C" w:rsidRPr="00027186">
        <w:rPr>
          <w:rFonts w:cs="Arial"/>
        </w:rPr>
        <w:t>there has been a further £30.042</w:t>
      </w:r>
      <w:r w:rsidRPr="00027186">
        <w:rPr>
          <w:rFonts w:cs="Arial"/>
        </w:rPr>
        <w:t>m added to reserves. There are £</w:t>
      </w:r>
      <w:r w:rsidR="008F4FB2" w:rsidRPr="00027186">
        <w:rPr>
          <w:rFonts w:cs="Arial"/>
        </w:rPr>
        <w:t>99.189</w:t>
      </w:r>
      <w:r w:rsidR="00B17597" w:rsidRPr="00027186">
        <w:rPr>
          <w:rFonts w:cs="Arial"/>
        </w:rPr>
        <w:t>m</w:t>
      </w:r>
      <w:r w:rsidRPr="00027186">
        <w:rPr>
          <w:rFonts w:cs="Arial"/>
        </w:rPr>
        <w:t xml:space="preserve"> of </w:t>
      </w:r>
      <w:r w:rsidR="008F4FB2" w:rsidRPr="00027186">
        <w:rPr>
          <w:rFonts w:cs="Arial"/>
        </w:rPr>
        <w:t xml:space="preserve">outstanding </w:t>
      </w:r>
      <w:r w:rsidRPr="00027186">
        <w:rPr>
          <w:rFonts w:cs="Arial"/>
        </w:rPr>
        <w:t>in-y</w:t>
      </w:r>
      <w:r w:rsidR="00B17597" w:rsidRPr="00027186">
        <w:rPr>
          <w:rFonts w:cs="Arial"/>
        </w:rPr>
        <w:t>ear commitments. This will leave a balance on reserves at 31</w:t>
      </w:r>
      <w:r w:rsidR="00B17597" w:rsidRPr="00027186">
        <w:rPr>
          <w:rFonts w:cs="Arial"/>
          <w:vertAlign w:val="superscript"/>
        </w:rPr>
        <w:t>st</w:t>
      </w:r>
      <w:r w:rsidR="00B17597" w:rsidRPr="00027186">
        <w:rPr>
          <w:rFonts w:cs="Arial"/>
        </w:rPr>
        <w:t xml:space="preserve"> March 2016 of £25</w:t>
      </w:r>
      <w:r w:rsidR="005E5A5C" w:rsidRPr="00027186">
        <w:rPr>
          <w:rFonts w:cs="Arial"/>
        </w:rPr>
        <w:t>9.552</w:t>
      </w:r>
      <w:r w:rsidR="00B17597" w:rsidRPr="00027186">
        <w:rPr>
          <w:rFonts w:cs="Arial"/>
        </w:rPr>
        <w:t>m. T</w:t>
      </w:r>
      <w:r w:rsidR="008F4FB2" w:rsidRPr="00027186">
        <w:rPr>
          <w:rFonts w:cs="Arial"/>
        </w:rPr>
        <w:t>here are commitments of £148.219m in 2016/17 and £54.721</w:t>
      </w:r>
      <w:r w:rsidR="00B17597" w:rsidRPr="00027186">
        <w:rPr>
          <w:rFonts w:cs="Arial"/>
        </w:rPr>
        <w:t>m of commitments in 2017/18. This will leave</w:t>
      </w:r>
      <w:r w:rsidR="003C78FD" w:rsidRPr="00027186">
        <w:rPr>
          <w:rFonts w:cs="Arial"/>
        </w:rPr>
        <w:t xml:space="preserve"> the £36m County Fund and</w:t>
      </w:r>
      <w:r w:rsidR="00B17597" w:rsidRPr="00027186">
        <w:rPr>
          <w:rFonts w:cs="Arial"/>
        </w:rPr>
        <w:t xml:space="preserve"> £</w:t>
      </w:r>
      <w:r w:rsidR="009177CF" w:rsidRPr="00027186">
        <w:rPr>
          <w:rFonts w:cs="Arial"/>
        </w:rPr>
        <w:t>20.613</w:t>
      </w:r>
      <w:r w:rsidR="00B17597" w:rsidRPr="00027186">
        <w:rPr>
          <w:rFonts w:cs="Arial"/>
        </w:rPr>
        <w:t>m of Service Reserves by 31</w:t>
      </w:r>
      <w:r w:rsidR="00B17597" w:rsidRPr="00027186">
        <w:rPr>
          <w:rFonts w:cs="Arial"/>
          <w:vertAlign w:val="superscript"/>
        </w:rPr>
        <w:t>st</w:t>
      </w:r>
      <w:r w:rsidR="00B17597" w:rsidRPr="00027186">
        <w:rPr>
          <w:rFonts w:cs="Arial"/>
        </w:rPr>
        <w:t xml:space="preserve"> </w:t>
      </w:r>
      <w:r w:rsidR="00F52880" w:rsidRPr="00027186">
        <w:rPr>
          <w:rFonts w:cs="Arial"/>
        </w:rPr>
        <w:t>March 2018.</w:t>
      </w:r>
      <w:r w:rsidR="003C78FD" w:rsidRPr="00027186">
        <w:rPr>
          <w:rFonts w:cs="Arial"/>
        </w:rPr>
        <w:t xml:space="preserve"> The remaining service reserves by this date are mainly for long-term PFI commitments and waste plant maintenance.</w:t>
      </w:r>
    </w:p>
    <w:p w14:paraId="3DAB6159" w14:textId="77777777" w:rsidR="00966573" w:rsidRPr="00027186" w:rsidRDefault="00966573" w:rsidP="00B60B5D">
      <w:pPr>
        <w:spacing w:after="0"/>
        <w:ind w:right="-24"/>
        <w:rPr>
          <w:rFonts w:cs="Arial"/>
        </w:rPr>
      </w:pPr>
    </w:p>
    <w:p w14:paraId="72C27B8E" w14:textId="77777777" w:rsidR="006C7F27" w:rsidRPr="00027186" w:rsidRDefault="0044464F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T</w:t>
      </w:r>
      <w:r w:rsidR="00297702" w:rsidRPr="00027186">
        <w:rPr>
          <w:rFonts w:cs="Arial"/>
          <w:b/>
        </w:rPr>
        <w:t xml:space="preserve">he 2015/16 </w:t>
      </w:r>
      <w:r w:rsidR="007926B0" w:rsidRPr="00027186">
        <w:rPr>
          <w:rFonts w:cs="Arial"/>
          <w:b/>
        </w:rPr>
        <w:t>forecast</w:t>
      </w:r>
      <w:r w:rsidR="004E2AC4" w:rsidRPr="00027186">
        <w:rPr>
          <w:rFonts w:cs="Arial"/>
          <w:b/>
        </w:rPr>
        <w:t xml:space="preserve"> net overspend of </w:t>
      </w:r>
      <w:r w:rsidR="00297702" w:rsidRPr="00027186">
        <w:rPr>
          <w:rFonts w:cs="Arial"/>
          <w:b/>
        </w:rPr>
        <w:t>£</w:t>
      </w:r>
      <w:r w:rsidR="008F4FB2" w:rsidRPr="00027186">
        <w:rPr>
          <w:rFonts w:cs="Arial"/>
          <w:b/>
        </w:rPr>
        <w:t>9.591</w:t>
      </w:r>
      <w:r w:rsidR="00297702" w:rsidRPr="00027186">
        <w:rPr>
          <w:rFonts w:cs="Arial"/>
          <w:b/>
        </w:rPr>
        <w:t>m</w:t>
      </w:r>
      <w:r w:rsidR="00224312" w:rsidRPr="00027186">
        <w:rPr>
          <w:rFonts w:cs="Arial"/>
          <w:b/>
        </w:rPr>
        <w:t xml:space="preserve"> as detailed in Appendix</w:t>
      </w:r>
      <w:r w:rsidR="00297702" w:rsidRPr="00027186">
        <w:rPr>
          <w:rFonts w:cs="Arial"/>
          <w:b/>
        </w:rPr>
        <w:t xml:space="preserve"> A</w:t>
      </w:r>
      <w:r w:rsidRPr="00027186">
        <w:rPr>
          <w:rFonts w:cs="Arial"/>
          <w:b/>
        </w:rPr>
        <w:t xml:space="preserve"> has b</w:t>
      </w:r>
      <w:r w:rsidR="006C7F27" w:rsidRPr="00027186">
        <w:rPr>
          <w:rFonts w:cs="Arial"/>
          <w:b/>
        </w:rPr>
        <w:t>een set aga</w:t>
      </w:r>
      <w:r w:rsidR="008E4130" w:rsidRPr="00027186">
        <w:rPr>
          <w:rFonts w:cs="Arial"/>
          <w:b/>
        </w:rPr>
        <w:t xml:space="preserve">inst the </w:t>
      </w:r>
      <w:r w:rsidR="009177CF" w:rsidRPr="00027186">
        <w:rPr>
          <w:rFonts w:cs="Arial"/>
          <w:b/>
        </w:rPr>
        <w:t>proposed Transitional Reserve.</w:t>
      </w:r>
    </w:p>
    <w:p w14:paraId="2A0AE9D4" w14:textId="77777777" w:rsidR="00B17597" w:rsidRPr="00027186" w:rsidRDefault="00B17597">
      <w:pPr>
        <w:autoSpaceDE/>
        <w:autoSpaceDN/>
        <w:adjustRightInd/>
        <w:spacing w:after="0"/>
        <w:jc w:val="left"/>
        <w:rPr>
          <w:rFonts w:cs="Arial"/>
        </w:rPr>
      </w:pPr>
      <w:r w:rsidRPr="00027186">
        <w:rPr>
          <w:rFonts w:cs="Arial"/>
        </w:rPr>
        <w:br w:type="page"/>
      </w:r>
    </w:p>
    <w:p w14:paraId="7FB92B93" w14:textId="77777777" w:rsidR="008308E2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table</w:t>
      </w:r>
      <w:r w:rsidR="00B17597" w:rsidRPr="00027186">
        <w:rPr>
          <w:rFonts w:cs="Arial"/>
        </w:rPr>
        <w:t xml:space="preserve"> below</w:t>
      </w:r>
      <w:r w:rsidRPr="00027186">
        <w:rPr>
          <w:rFonts w:cs="Arial"/>
        </w:rPr>
        <w:t xml:space="preserve"> illustrates the </w:t>
      </w:r>
      <w:r w:rsidR="00614E23" w:rsidRPr="00027186">
        <w:rPr>
          <w:rFonts w:cs="Arial"/>
        </w:rPr>
        <w:t xml:space="preserve">summary </w:t>
      </w:r>
      <w:r w:rsidRPr="00027186">
        <w:rPr>
          <w:rFonts w:cs="Arial"/>
        </w:rPr>
        <w:t>forecast position in respect of the Council's reserves:</w:t>
      </w:r>
    </w:p>
    <w:p w14:paraId="7DC9A421" w14:textId="77777777" w:rsidR="00634E3F" w:rsidRPr="008308E2" w:rsidRDefault="00634E3F" w:rsidP="008308E2">
      <w:pPr>
        <w:spacing w:after="0"/>
        <w:ind w:right="-330"/>
        <w:rPr>
          <w:rFonts w:cs="Arial"/>
        </w:rPr>
      </w:pPr>
    </w:p>
    <w:p w14:paraId="3BAA7E66" w14:textId="4EBAFA53" w:rsidR="008308E2" w:rsidRPr="008308E2" w:rsidRDefault="002305D4" w:rsidP="008308E2">
      <w:pPr>
        <w:spacing w:after="0"/>
        <w:ind w:right="-330"/>
        <w:rPr>
          <w:rFonts w:cs="Arial"/>
        </w:rPr>
      </w:pPr>
      <w:r w:rsidRPr="002305D4">
        <w:rPr>
          <w:noProof/>
          <w:lang w:eastAsia="en-GB"/>
        </w:rPr>
        <w:drawing>
          <wp:inline distT="0" distB="0" distL="0" distR="0" wp14:anchorId="6DB9FCEA" wp14:editId="179D6024">
            <wp:extent cx="6394563" cy="238089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48" cy="2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E500" w14:textId="77777777" w:rsidR="00566CCD" w:rsidRDefault="00566CCD" w:rsidP="00A53AE1">
      <w:pPr>
        <w:spacing w:after="0"/>
        <w:ind w:right="-330"/>
        <w:rPr>
          <w:rFonts w:cs="Arial"/>
        </w:rPr>
      </w:pPr>
    </w:p>
    <w:p w14:paraId="5AC0F196" w14:textId="77777777" w:rsidR="00122701" w:rsidRPr="00027186" w:rsidRDefault="00E40C1B" w:rsidP="009F22F6">
      <w:pPr>
        <w:spacing w:after="0"/>
        <w:ind w:right="-330"/>
        <w:rPr>
          <w:rFonts w:cs="Arial"/>
        </w:rPr>
      </w:pPr>
      <w:r w:rsidRPr="00027186">
        <w:rPr>
          <w:rFonts w:cs="Arial"/>
        </w:rPr>
        <w:t>Note: t</w:t>
      </w:r>
      <w:r w:rsidR="00E04ED8" w:rsidRPr="00027186">
        <w:rPr>
          <w:rFonts w:cs="Arial"/>
        </w:rPr>
        <w:t>he Service R</w:t>
      </w:r>
      <w:r w:rsidR="008A18BE" w:rsidRPr="00027186">
        <w:rPr>
          <w:rFonts w:cs="Arial"/>
        </w:rPr>
        <w:t>eserves</w:t>
      </w:r>
      <w:r w:rsidR="00A53AE1" w:rsidRPr="00027186">
        <w:rPr>
          <w:rFonts w:cs="Arial"/>
        </w:rPr>
        <w:t xml:space="preserve"> </w:t>
      </w:r>
      <w:r w:rsidR="00966573" w:rsidRPr="00027186">
        <w:rPr>
          <w:rFonts w:cs="Arial"/>
        </w:rPr>
        <w:t>reflect the inclusion of</w:t>
      </w:r>
      <w:r w:rsidR="00A53AE1" w:rsidRPr="00027186">
        <w:rPr>
          <w:rFonts w:cs="Arial"/>
        </w:rPr>
        <w:t xml:space="preserve"> the </w:t>
      </w:r>
      <w:r w:rsidR="00726AF7" w:rsidRPr="00027186">
        <w:rPr>
          <w:rFonts w:cs="Arial"/>
        </w:rPr>
        <w:t xml:space="preserve">actual </w:t>
      </w:r>
      <w:r w:rsidR="008A18BE" w:rsidRPr="00027186">
        <w:rPr>
          <w:rFonts w:cs="Arial"/>
        </w:rPr>
        <w:t xml:space="preserve">income and </w:t>
      </w:r>
      <w:r w:rsidR="00726AF7" w:rsidRPr="00027186">
        <w:rPr>
          <w:rFonts w:cs="Arial"/>
        </w:rPr>
        <w:t xml:space="preserve">committed </w:t>
      </w:r>
      <w:r w:rsidR="008A18BE" w:rsidRPr="00027186">
        <w:rPr>
          <w:rFonts w:cs="Arial"/>
        </w:rPr>
        <w:t>expenditure for the Growth D</w:t>
      </w:r>
      <w:r w:rsidR="00A53AE1" w:rsidRPr="00027186">
        <w:rPr>
          <w:rFonts w:cs="Arial"/>
        </w:rPr>
        <w:t xml:space="preserve">eal </w:t>
      </w:r>
      <w:r w:rsidR="008A18BE" w:rsidRPr="00027186">
        <w:rPr>
          <w:rFonts w:cs="Arial"/>
        </w:rPr>
        <w:t xml:space="preserve">of </w:t>
      </w:r>
      <w:r w:rsidR="00A53AE1" w:rsidRPr="00027186">
        <w:rPr>
          <w:rFonts w:cs="Arial"/>
        </w:rPr>
        <w:t>£39.5m.</w:t>
      </w:r>
    </w:p>
    <w:p w14:paraId="3700F75C" w14:textId="77777777" w:rsidR="005030EA" w:rsidRPr="00027186" w:rsidRDefault="005030EA" w:rsidP="009F22F6">
      <w:pPr>
        <w:spacing w:after="0"/>
        <w:ind w:right="-330"/>
        <w:rPr>
          <w:rFonts w:cs="Arial"/>
        </w:rPr>
      </w:pPr>
    </w:p>
    <w:p w14:paraId="3B1E6588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</w:t>
      </w:r>
      <w:r w:rsidRPr="00027186">
        <w:rPr>
          <w:rFonts w:cs="Arial"/>
          <w:b/>
        </w:rPr>
        <w:tab/>
        <w:t>Reserves</w:t>
      </w:r>
    </w:p>
    <w:p w14:paraId="1829D578" w14:textId="77777777" w:rsidR="008308E2" w:rsidRPr="00027186" w:rsidRDefault="008308E2" w:rsidP="00B60B5D">
      <w:pPr>
        <w:spacing w:after="0"/>
        <w:ind w:right="-24"/>
        <w:rPr>
          <w:rFonts w:cs="Arial"/>
        </w:rPr>
      </w:pPr>
    </w:p>
    <w:p w14:paraId="17EF25E0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3.1</w:t>
      </w:r>
      <w:r w:rsidRPr="00027186">
        <w:rPr>
          <w:rFonts w:cs="Arial"/>
          <w:b/>
        </w:rPr>
        <w:tab/>
        <w:t>County Fund Balance</w:t>
      </w:r>
    </w:p>
    <w:p w14:paraId="4C8CCE94" w14:textId="77777777" w:rsidR="008308E2" w:rsidRPr="00027186" w:rsidRDefault="008308E2" w:rsidP="00B60B5D">
      <w:pPr>
        <w:spacing w:after="0"/>
        <w:ind w:right="-24"/>
        <w:rPr>
          <w:rFonts w:cs="Arial"/>
        </w:rPr>
      </w:pPr>
    </w:p>
    <w:p w14:paraId="50DDD330" w14:textId="77777777" w:rsidR="00FA2130" w:rsidRPr="00027186" w:rsidRDefault="008308E2" w:rsidP="00B17597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The County Fund is the </w:t>
      </w:r>
      <w:r w:rsidR="00711810" w:rsidRPr="00027186">
        <w:rPr>
          <w:rFonts w:cs="Arial"/>
        </w:rPr>
        <w:t xml:space="preserve">balance </w:t>
      </w:r>
      <w:r w:rsidR="005D6709" w:rsidRPr="00027186">
        <w:rPr>
          <w:rFonts w:cs="Arial"/>
        </w:rPr>
        <w:t>set aside</w:t>
      </w:r>
      <w:r w:rsidRPr="00027186">
        <w:rPr>
          <w:rFonts w:cs="Arial"/>
        </w:rPr>
        <w:t xml:space="preserve"> to cover </w:t>
      </w:r>
      <w:r w:rsidR="00733980" w:rsidRPr="00027186">
        <w:rPr>
          <w:rFonts w:cs="Arial"/>
        </w:rPr>
        <w:t xml:space="preserve">the authority </w:t>
      </w:r>
      <w:r w:rsidR="00711810" w:rsidRPr="00027186">
        <w:rPr>
          <w:rFonts w:cs="Arial"/>
        </w:rPr>
        <w:t xml:space="preserve">against a serious emergency situation (e.g. </w:t>
      </w:r>
      <w:r w:rsidR="00E40C1B" w:rsidRPr="00027186">
        <w:rPr>
          <w:rFonts w:cs="Arial"/>
        </w:rPr>
        <w:t xml:space="preserve">widespread </w:t>
      </w:r>
      <w:r w:rsidR="00711810" w:rsidRPr="00027186">
        <w:rPr>
          <w:rFonts w:cs="Arial"/>
        </w:rPr>
        <w:t>flooding); a critical and unexpected lo</w:t>
      </w:r>
      <w:r w:rsidRPr="00027186">
        <w:rPr>
          <w:rFonts w:cs="Arial"/>
        </w:rPr>
        <w:t xml:space="preserve">ss of income </w:t>
      </w:r>
      <w:r w:rsidR="00EB1FA3" w:rsidRPr="00027186">
        <w:rPr>
          <w:rFonts w:cs="Arial"/>
        </w:rPr>
        <w:t xml:space="preserve">to the authority </w:t>
      </w:r>
      <w:r w:rsidRPr="00027186">
        <w:rPr>
          <w:rFonts w:cs="Arial"/>
        </w:rPr>
        <w:t xml:space="preserve">and </w:t>
      </w:r>
      <w:r w:rsidR="00711810" w:rsidRPr="00027186">
        <w:rPr>
          <w:rFonts w:cs="Arial"/>
        </w:rPr>
        <w:t xml:space="preserve">for </w:t>
      </w:r>
      <w:r w:rsidRPr="00027186">
        <w:rPr>
          <w:rFonts w:cs="Arial"/>
        </w:rPr>
        <w:t xml:space="preserve">general cash flow purposes.  In considering these various factors the County </w:t>
      </w:r>
      <w:r w:rsidR="00224312" w:rsidRPr="00027186">
        <w:rPr>
          <w:rFonts w:cs="Arial"/>
        </w:rPr>
        <w:t xml:space="preserve">Council </w:t>
      </w:r>
      <w:r w:rsidR="00733980" w:rsidRPr="00027186">
        <w:rPr>
          <w:rFonts w:cs="Arial"/>
        </w:rPr>
        <w:t>holds a</w:t>
      </w:r>
      <w:r w:rsidR="00224312" w:rsidRPr="00027186">
        <w:rPr>
          <w:rFonts w:cs="Arial"/>
        </w:rPr>
        <w:t xml:space="preserve"> County Fund b</w:t>
      </w:r>
      <w:r w:rsidRPr="00027186">
        <w:rPr>
          <w:rFonts w:cs="Arial"/>
        </w:rPr>
        <w:t>alance at £36m.</w:t>
      </w:r>
      <w:r w:rsidR="00245B18" w:rsidRPr="00027186">
        <w:rPr>
          <w:rFonts w:cs="Arial"/>
        </w:rPr>
        <w:t xml:space="preserve"> </w:t>
      </w:r>
      <w:r w:rsidR="009177CF" w:rsidRPr="00027186">
        <w:rPr>
          <w:rFonts w:cs="Arial"/>
        </w:rPr>
        <w:t>It is proposed this balance is retained as a prudent safeguard against any unexpected financial pressures.</w:t>
      </w:r>
    </w:p>
    <w:p w14:paraId="68FBC6F4" w14:textId="77777777" w:rsidR="008308E2" w:rsidRPr="00027186" w:rsidRDefault="008308E2" w:rsidP="00B60B5D">
      <w:pPr>
        <w:spacing w:after="0"/>
        <w:ind w:right="-24"/>
        <w:rPr>
          <w:rFonts w:cs="Arial"/>
        </w:rPr>
      </w:pPr>
    </w:p>
    <w:p w14:paraId="1E0C7BC6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3.2</w:t>
      </w:r>
      <w:r w:rsidRPr="00027186">
        <w:rPr>
          <w:rFonts w:cs="Arial"/>
          <w:b/>
        </w:rPr>
        <w:tab/>
        <w:t>Bu</w:t>
      </w:r>
      <w:r w:rsidR="00224312" w:rsidRPr="00027186">
        <w:rPr>
          <w:rFonts w:cs="Arial"/>
          <w:b/>
        </w:rPr>
        <w:t>siness Rates Volatility Reserve</w:t>
      </w:r>
    </w:p>
    <w:p w14:paraId="5FF51B71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</w:p>
    <w:p w14:paraId="592AA6F3" w14:textId="77777777" w:rsidR="00614E23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Business rates are an important source of finance for </w:t>
      </w:r>
      <w:r w:rsidR="003908B6" w:rsidRPr="00027186">
        <w:rPr>
          <w:rFonts w:cs="Arial"/>
        </w:rPr>
        <w:t>the authority</w:t>
      </w:r>
      <w:r w:rsidRPr="00027186">
        <w:rPr>
          <w:rFonts w:cs="Arial"/>
        </w:rPr>
        <w:t xml:space="preserve">. </w:t>
      </w:r>
      <w:r w:rsidR="00224312" w:rsidRPr="00027186">
        <w:rPr>
          <w:rFonts w:cs="Arial"/>
        </w:rPr>
        <w:t xml:space="preserve"> </w:t>
      </w:r>
      <w:r w:rsidR="008E4130" w:rsidRPr="00027186">
        <w:rPr>
          <w:rFonts w:cs="Arial"/>
        </w:rPr>
        <w:t>However, this</w:t>
      </w:r>
      <w:r w:rsidRPr="00027186">
        <w:rPr>
          <w:rFonts w:cs="Arial"/>
        </w:rPr>
        <w:t xml:space="preserve"> income </w:t>
      </w:r>
      <w:r w:rsidR="00711810" w:rsidRPr="00027186">
        <w:rPr>
          <w:rFonts w:cs="Arial"/>
        </w:rPr>
        <w:t>can fluctuate</w:t>
      </w:r>
      <w:r w:rsidR="007926B0" w:rsidRPr="00027186">
        <w:rPr>
          <w:rFonts w:cs="Arial"/>
        </w:rPr>
        <w:t xml:space="preserve"> </w:t>
      </w:r>
      <w:r w:rsidRPr="00027186">
        <w:rPr>
          <w:rFonts w:cs="Arial"/>
        </w:rPr>
        <w:t>depend</w:t>
      </w:r>
      <w:r w:rsidR="007926B0" w:rsidRPr="00027186">
        <w:rPr>
          <w:rFonts w:cs="Arial"/>
        </w:rPr>
        <w:t>ing</w:t>
      </w:r>
      <w:r w:rsidR="004421CE" w:rsidRPr="00027186">
        <w:rPr>
          <w:rFonts w:cs="Arial"/>
        </w:rPr>
        <w:t xml:space="preserve"> upon changes </w:t>
      </w:r>
      <w:r w:rsidR="008E4130" w:rsidRPr="00027186">
        <w:rPr>
          <w:rFonts w:cs="Arial"/>
        </w:rPr>
        <w:t xml:space="preserve">in </w:t>
      </w:r>
      <w:r w:rsidRPr="00027186">
        <w:rPr>
          <w:rFonts w:cs="Arial"/>
        </w:rPr>
        <w:t xml:space="preserve">rateable value and the impact of any valuation appeals.  In the last quarter of the 2014/15 financial year there was a </w:t>
      </w:r>
      <w:r w:rsidR="004707FF" w:rsidRPr="00027186">
        <w:rPr>
          <w:rFonts w:cs="Arial"/>
        </w:rPr>
        <w:t>sudden</w:t>
      </w:r>
      <w:r w:rsidR="00EB1FA3" w:rsidRPr="00027186">
        <w:rPr>
          <w:rFonts w:cs="Arial"/>
        </w:rPr>
        <w:t xml:space="preserve"> increase</w:t>
      </w:r>
      <w:r w:rsidRPr="00027186">
        <w:rPr>
          <w:rFonts w:cs="Arial"/>
        </w:rPr>
        <w:t xml:space="preserve"> in the numbe</w:t>
      </w:r>
      <w:r w:rsidR="007926B0" w:rsidRPr="00027186">
        <w:rPr>
          <w:rFonts w:cs="Arial"/>
        </w:rPr>
        <w:t>r of valuation appeals</w:t>
      </w:r>
      <w:r w:rsidRPr="00027186">
        <w:rPr>
          <w:rFonts w:cs="Arial"/>
        </w:rPr>
        <w:t xml:space="preserve">. </w:t>
      </w:r>
      <w:r w:rsidR="00614E23" w:rsidRPr="00027186">
        <w:rPr>
          <w:rFonts w:cs="Arial"/>
        </w:rPr>
        <w:t xml:space="preserve"> The results of the appeals</w:t>
      </w:r>
      <w:r w:rsidRPr="00027186">
        <w:rPr>
          <w:rFonts w:cs="Arial"/>
        </w:rPr>
        <w:t xml:space="preserve"> are not </w:t>
      </w:r>
      <w:r w:rsidR="00245B18" w:rsidRPr="00027186">
        <w:rPr>
          <w:rFonts w:cs="Arial"/>
        </w:rPr>
        <w:t>likely to be known until early 2016</w:t>
      </w:r>
      <w:r w:rsidR="00614E23" w:rsidRPr="00027186">
        <w:rPr>
          <w:rFonts w:cs="Arial"/>
        </w:rPr>
        <w:t>.</w:t>
      </w:r>
    </w:p>
    <w:p w14:paraId="54539D81" w14:textId="77777777" w:rsidR="00614E23" w:rsidRPr="00027186" w:rsidRDefault="00614E23" w:rsidP="00B60B5D">
      <w:pPr>
        <w:spacing w:after="0"/>
        <w:ind w:right="-24"/>
        <w:rPr>
          <w:rFonts w:cs="Arial"/>
        </w:rPr>
      </w:pPr>
    </w:p>
    <w:p w14:paraId="26CE46EA" w14:textId="0D0AE87C" w:rsidR="003071F8" w:rsidRPr="00027186" w:rsidRDefault="00E40C1B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In addition</w:t>
      </w:r>
      <w:r w:rsidR="008308E2" w:rsidRPr="00027186">
        <w:rPr>
          <w:rFonts w:cs="Arial"/>
        </w:rPr>
        <w:t xml:space="preserve"> </w:t>
      </w:r>
      <w:r w:rsidR="003908B6" w:rsidRPr="00027186">
        <w:rPr>
          <w:rFonts w:cs="Arial"/>
        </w:rPr>
        <w:t xml:space="preserve">the Chancellor has announced </w:t>
      </w:r>
      <w:r w:rsidR="008308E2" w:rsidRPr="00027186">
        <w:rPr>
          <w:rFonts w:cs="Arial"/>
        </w:rPr>
        <w:t>a national review of the business rates system</w:t>
      </w:r>
      <w:r w:rsidR="003908B6" w:rsidRPr="00027186">
        <w:rPr>
          <w:rFonts w:cs="Arial"/>
        </w:rPr>
        <w:t xml:space="preserve">. </w:t>
      </w:r>
      <w:r w:rsidR="004421CE" w:rsidRPr="00027186">
        <w:rPr>
          <w:rFonts w:cs="Arial"/>
        </w:rPr>
        <w:t>This will see local government</w:t>
      </w:r>
      <w:r w:rsidR="000F2609" w:rsidRPr="00027186">
        <w:rPr>
          <w:rFonts w:cs="Arial"/>
        </w:rPr>
        <w:t xml:space="preserve"> retain</w:t>
      </w:r>
      <w:r w:rsidR="004421CE" w:rsidRPr="00027186">
        <w:rPr>
          <w:rFonts w:cs="Arial"/>
        </w:rPr>
        <w:t>ing</w:t>
      </w:r>
      <w:r w:rsidR="000F2609" w:rsidRPr="00027186">
        <w:rPr>
          <w:rFonts w:cs="Arial"/>
        </w:rPr>
        <w:t xml:space="preserve"> 100% of all business rates although it has been ind</w:t>
      </w:r>
      <w:r w:rsidR="00D84F05" w:rsidRPr="00027186">
        <w:rPr>
          <w:rFonts w:cs="Arial"/>
        </w:rPr>
        <w:t xml:space="preserve">icated that this will </w:t>
      </w:r>
      <w:r w:rsidR="004421CE" w:rsidRPr="00027186">
        <w:rPr>
          <w:rFonts w:cs="Arial"/>
        </w:rPr>
        <w:t xml:space="preserve">also </w:t>
      </w:r>
      <w:r w:rsidR="00D84F05" w:rsidRPr="00027186">
        <w:rPr>
          <w:rFonts w:cs="Arial"/>
        </w:rPr>
        <w:t>come with</w:t>
      </w:r>
      <w:r w:rsidR="000F2609" w:rsidRPr="00027186">
        <w:rPr>
          <w:rFonts w:cs="Arial"/>
        </w:rPr>
        <w:t xml:space="preserve"> "new responsibilities".</w:t>
      </w:r>
      <w:r w:rsidR="00D84F05" w:rsidRPr="00027186">
        <w:rPr>
          <w:rFonts w:cs="Arial"/>
        </w:rPr>
        <w:t xml:space="preserve"> More details of </w:t>
      </w:r>
      <w:r w:rsidR="007926B0" w:rsidRPr="00027186">
        <w:rPr>
          <w:rFonts w:cs="Arial"/>
        </w:rPr>
        <w:t xml:space="preserve">the reform of business rates </w:t>
      </w:r>
      <w:r w:rsidR="002305D4" w:rsidRPr="00027186">
        <w:rPr>
          <w:rFonts w:cs="Arial"/>
        </w:rPr>
        <w:t>are expected when the Government consultation on business rates is published.</w:t>
      </w:r>
    </w:p>
    <w:p w14:paraId="52834BCF" w14:textId="77777777" w:rsidR="00614E23" w:rsidRPr="00027186" w:rsidRDefault="00614E23" w:rsidP="00B60B5D">
      <w:pPr>
        <w:spacing w:after="0"/>
        <w:ind w:right="-24"/>
        <w:rPr>
          <w:rFonts w:cs="Arial"/>
        </w:rPr>
      </w:pPr>
    </w:p>
    <w:p w14:paraId="12002502" w14:textId="08B99200" w:rsidR="00614E23" w:rsidRPr="00027186" w:rsidRDefault="00614E23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Also, from 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April 2016, the Secretary of State has given approval for Lancashire County Council to form a business rates pool with 9 of the </w:t>
      </w:r>
      <w:r w:rsidR="004421CE" w:rsidRPr="00027186">
        <w:rPr>
          <w:rFonts w:cs="Arial"/>
        </w:rPr>
        <w:t xml:space="preserve">local </w:t>
      </w:r>
      <w:r w:rsidRPr="00027186">
        <w:rPr>
          <w:rFonts w:cs="Arial"/>
        </w:rPr>
        <w:t>District Authorities, enabling the pool to retain all business rates growth.</w:t>
      </w:r>
      <w:r w:rsidR="0076182A" w:rsidRPr="00027186">
        <w:rPr>
          <w:rFonts w:cs="Arial"/>
        </w:rPr>
        <w:t xml:space="preserve"> </w:t>
      </w:r>
      <w:r w:rsidR="002305D4" w:rsidRPr="00027186">
        <w:rPr>
          <w:rFonts w:cs="Arial"/>
        </w:rPr>
        <w:t xml:space="preserve">The County Council will retain 10% of </w:t>
      </w:r>
      <w:r w:rsidR="00005D60" w:rsidRPr="00027186">
        <w:rPr>
          <w:rFonts w:cs="Arial"/>
        </w:rPr>
        <w:t xml:space="preserve">any growth. </w:t>
      </w:r>
      <w:r w:rsidR="0076182A" w:rsidRPr="00027186">
        <w:rPr>
          <w:rFonts w:cs="Arial"/>
        </w:rPr>
        <w:t>Currently, 50% of all growth above a set level is returned to Central Government.</w:t>
      </w:r>
    </w:p>
    <w:p w14:paraId="2A988B47" w14:textId="77777777" w:rsidR="003071F8" w:rsidRPr="00027186" w:rsidRDefault="003071F8" w:rsidP="00B60B5D">
      <w:pPr>
        <w:spacing w:after="0"/>
        <w:ind w:right="-24"/>
        <w:rPr>
          <w:rFonts w:cs="Arial"/>
        </w:rPr>
      </w:pPr>
    </w:p>
    <w:p w14:paraId="3923FC8F" w14:textId="7CC9574F" w:rsidR="003071F8" w:rsidRPr="00027186" w:rsidRDefault="007C6B28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It is proposed that </w:t>
      </w:r>
      <w:r w:rsidR="00B17597" w:rsidRPr="00027186">
        <w:rPr>
          <w:rFonts w:cs="Arial"/>
        </w:rPr>
        <w:t>£5m</w:t>
      </w:r>
      <w:r w:rsidRPr="00027186">
        <w:rPr>
          <w:rFonts w:cs="Arial"/>
        </w:rPr>
        <w:t xml:space="preserve"> from this reserve</w:t>
      </w:r>
      <w:r w:rsidR="00B17597" w:rsidRPr="00027186">
        <w:rPr>
          <w:rFonts w:cs="Arial"/>
        </w:rPr>
        <w:t xml:space="preserve"> is transferred to the </w:t>
      </w:r>
      <w:r w:rsidR="00614E23" w:rsidRPr="00027186">
        <w:rPr>
          <w:rFonts w:cs="Arial"/>
        </w:rPr>
        <w:t>Transitional Reserve.</w:t>
      </w:r>
      <w:r w:rsidR="00B17597" w:rsidRPr="00027186">
        <w:rPr>
          <w:rFonts w:cs="Arial"/>
        </w:rPr>
        <w:t xml:space="preserve"> Any</w:t>
      </w:r>
      <w:r w:rsidR="00B52869" w:rsidRPr="00027186">
        <w:rPr>
          <w:rFonts w:cs="Arial"/>
        </w:rPr>
        <w:t xml:space="preserve"> Business Rates</w:t>
      </w:r>
      <w:r w:rsidR="00B17597" w:rsidRPr="00027186">
        <w:rPr>
          <w:rFonts w:cs="Arial"/>
        </w:rPr>
        <w:t xml:space="preserve"> risks will be met in future by either the County Fund or the Transitional Reserve.</w:t>
      </w:r>
    </w:p>
    <w:p w14:paraId="349CC4A7" w14:textId="77777777" w:rsidR="008308E2" w:rsidRPr="00027186" w:rsidRDefault="003071F8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 </w:t>
      </w:r>
    </w:p>
    <w:p w14:paraId="7D31182D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3.3</w:t>
      </w:r>
      <w:r w:rsidRPr="00027186">
        <w:rPr>
          <w:rFonts w:cs="Arial"/>
          <w:b/>
        </w:rPr>
        <w:tab/>
        <w:t>Strategic Investment Reserve</w:t>
      </w:r>
    </w:p>
    <w:p w14:paraId="5F796A8F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</w:p>
    <w:p w14:paraId="4FF9E5A9" w14:textId="77777777" w:rsidR="0045628C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This reserve is held to fund an agreed programme of investment in areas in</w:t>
      </w:r>
      <w:r w:rsidR="004707FF" w:rsidRPr="00027186">
        <w:rPr>
          <w:rFonts w:cs="Arial"/>
        </w:rPr>
        <w:t>cluding</w:t>
      </w:r>
      <w:r w:rsidR="004A5CF8" w:rsidRPr="00027186">
        <w:rPr>
          <w:rFonts w:cs="Arial"/>
        </w:rPr>
        <w:t xml:space="preserve"> economic development,</w:t>
      </w:r>
      <w:r w:rsidRPr="00027186">
        <w:rPr>
          <w:rFonts w:cs="Arial"/>
        </w:rPr>
        <w:t xml:space="preserve"> increasing employment opportunities and the development of apprenticeship programmes.</w:t>
      </w:r>
    </w:p>
    <w:p w14:paraId="40EC6BF2" w14:textId="77777777" w:rsidR="0045628C" w:rsidRPr="00027186" w:rsidRDefault="0045628C" w:rsidP="00B60B5D">
      <w:pPr>
        <w:spacing w:after="0"/>
        <w:ind w:right="-24"/>
        <w:rPr>
          <w:rFonts w:cs="Arial"/>
        </w:rPr>
      </w:pPr>
    </w:p>
    <w:p w14:paraId="48F5FDCD" w14:textId="77777777" w:rsidR="003908B6" w:rsidRPr="00027186" w:rsidRDefault="00843693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This reserve currently has a balance of £35.971m. It is proposed that </w:t>
      </w:r>
      <w:r w:rsidR="00EE0327" w:rsidRPr="00027186">
        <w:rPr>
          <w:rFonts w:cs="Arial"/>
        </w:rPr>
        <w:t>£31.721</w:t>
      </w:r>
      <w:r w:rsidR="0045628C" w:rsidRPr="00027186">
        <w:rPr>
          <w:rFonts w:cs="Arial"/>
        </w:rPr>
        <w:t xml:space="preserve">m </w:t>
      </w:r>
      <w:r w:rsidRPr="00027186">
        <w:rPr>
          <w:rFonts w:cs="Arial"/>
        </w:rPr>
        <w:t>be</w:t>
      </w:r>
      <w:r w:rsidR="0045628C" w:rsidRPr="00027186">
        <w:rPr>
          <w:rFonts w:cs="Arial"/>
        </w:rPr>
        <w:t xml:space="preserve"> transfer</w:t>
      </w:r>
      <w:r w:rsidRPr="00027186">
        <w:rPr>
          <w:rFonts w:cs="Arial"/>
        </w:rPr>
        <w:t>red</w:t>
      </w:r>
      <w:r w:rsidR="0045628C" w:rsidRPr="00027186">
        <w:rPr>
          <w:rFonts w:cs="Arial"/>
        </w:rPr>
        <w:t xml:space="preserve"> t</w:t>
      </w:r>
      <w:r w:rsidR="00F52880" w:rsidRPr="00027186">
        <w:rPr>
          <w:rFonts w:cs="Arial"/>
        </w:rPr>
        <w:t>o the Transitional Reserve</w:t>
      </w:r>
      <w:r w:rsidR="00EE0327" w:rsidRPr="00027186">
        <w:rPr>
          <w:rFonts w:cs="Arial"/>
        </w:rPr>
        <w:t xml:space="preserve"> and £2.920</w:t>
      </w:r>
      <w:r w:rsidR="005D6709" w:rsidRPr="00027186">
        <w:rPr>
          <w:rFonts w:cs="Arial"/>
        </w:rPr>
        <w:t xml:space="preserve">m </w:t>
      </w:r>
      <w:r w:rsidR="008F4FB2" w:rsidRPr="00027186">
        <w:rPr>
          <w:rFonts w:cs="Arial"/>
        </w:rPr>
        <w:t xml:space="preserve">set aside for other commitments. </w:t>
      </w:r>
      <w:r w:rsidR="00F52880" w:rsidRPr="00027186">
        <w:rPr>
          <w:rFonts w:cs="Arial"/>
        </w:rPr>
        <w:t>Thi</w:t>
      </w:r>
      <w:r w:rsidR="009177CF" w:rsidRPr="00027186">
        <w:rPr>
          <w:rFonts w:cs="Arial"/>
        </w:rPr>
        <w:t>s will leave a balance of £1.330</w:t>
      </w:r>
      <w:r w:rsidR="00F52880" w:rsidRPr="00027186">
        <w:rPr>
          <w:rFonts w:cs="Arial"/>
        </w:rPr>
        <w:t>m which is planned to be used in 2016/17.</w:t>
      </w:r>
    </w:p>
    <w:p w14:paraId="201687FA" w14:textId="77777777" w:rsidR="003908B6" w:rsidRPr="00027186" w:rsidRDefault="003908B6" w:rsidP="00B60B5D">
      <w:pPr>
        <w:spacing w:after="0"/>
        <w:ind w:right="-24"/>
        <w:rPr>
          <w:rFonts w:cs="Arial"/>
        </w:rPr>
      </w:pPr>
    </w:p>
    <w:p w14:paraId="1B6B47E1" w14:textId="77777777" w:rsidR="00506E45" w:rsidRPr="00027186" w:rsidRDefault="00506E45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Details of the commitments are shown in Annex A.</w:t>
      </w:r>
    </w:p>
    <w:p w14:paraId="7DB15634" w14:textId="77777777" w:rsidR="00AE0B1C" w:rsidRPr="00027186" w:rsidRDefault="00AE0B1C" w:rsidP="00B60B5D">
      <w:pPr>
        <w:tabs>
          <w:tab w:val="left" w:pos="851"/>
        </w:tabs>
        <w:spacing w:after="0"/>
        <w:ind w:right="-24"/>
        <w:rPr>
          <w:rFonts w:cs="Arial"/>
          <w:b/>
        </w:rPr>
      </w:pPr>
    </w:p>
    <w:p w14:paraId="1745166F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3.4</w:t>
      </w:r>
      <w:r w:rsidRPr="00027186">
        <w:rPr>
          <w:rFonts w:cs="Arial"/>
          <w:b/>
        </w:rPr>
        <w:tab/>
        <w:t xml:space="preserve">Reserves held to deliver Organisational Change </w:t>
      </w:r>
    </w:p>
    <w:p w14:paraId="507A5872" w14:textId="77777777" w:rsidR="00A31B9F" w:rsidRPr="00027186" w:rsidRDefault="00A31B9F" w:rsidP="00B60B5D">
      <w:pPr>
        <w:spacing w:after="0"/>
        <w:ind w:right="-24"/>
        <w:rPr>
          <w:rFonts w:cs="Arial"/>
          <w:b/>
        </w:rPr>
      </w:pPr>
    </w:p>
    <w:p w14:paraId="009FE921" w14:textId="77777777" w:rsidR="008308E2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County</w:t>
      </w:r>
      <w:r w:rsidR="00726AF7" w:rsidRPr="00027186">
        <w:rPr>
          <w:rFonts w:cs="Arial"/>
        </w:rPr>
        <w:t xml:space="preserve"> Council</w:t>
      </w:r>
      <w:r w:rsidR="00E65962" w:rsidRPr="00027186">
        <w:rPr>
          <w:rFonts w:cs="Arial"/>
        </w:rPr>
        <w:t xml:space="preserve"> currently </w:t>
      </w:r>
      <w:r w:rsidRPr="00027186">
        <w:rPr>
          <w:rFonts w:cs="Arial"/>
        </w:rPr>
        <w:t>has two reserves to deli</w:t>
      </w:r>
      <w:r w:rsidR="004A5CF8" w:rsidRPr="00027186">
        <w:rPr>
          <w:rFonts w:cs="Arial"/>
        </w:rPr>
        <w:t xml:space="preserve">ver organisational change: </w:t>
      </w:r>
      <w:r w:rsidRPr="00027186">
        <w:rPr>
          <w:rFonts w:cs="Arial"/>
        </w:rPr>
        <w:t>the Downsizing Reserve and the Risk Management Reserve.</w:t>
      </w:r>
    </w:p>
    <w:p w14:paraId="11BF570E" w14:textId="77777777" w:rsidR="00224312" w:rsidRPr="00027186" w:rsidRDefault="00224312" w:rsidP="00B60B5D">
      <w:pPr>
        <w:autoSpaceDE/>
        <w:autoSpaceDN/>
        <w:adjustRightInd/>
        <w:spacing w:after="0"/>
        <w:ind w:right="-24"/>
        <w:jc w:val="left"/>
        <w:rPr>
          <w:rFonts w:cs="Arial"/>
        </w:rPr>
      </w:pPr>
    </w:p>
    <w:p w14:paraId="747B732D" w14:textId="77777777" w:rsidR="008308E2" w:rsidRPr="00027186" w:rsidRDefault="00A31B9F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3.4.1</w:t>
      </w:r>
      <w:r w:rsidRPr="00027186">
        <w:rPr>
          <w:rFonts w:cs="Arial"/>
          <w:b/>
        </w:rPr>
        <w:tab/>
      </w:r>
      <w:r w:rsidR="008308E2" w:rsidRPr="00027186">
        <w:rPr>
          <w:rFonts w:cs="Arial"/>
          <w:b/>
        </w:rPr>
        <w:t>Downsizing Reserve</w:t>
      </w:r>
    </w:p>
    <w:p w14:paraId="3EFE6871" w14:textId="77777777" w:rsidR="00A31B9F" w:rsidRPr="00027186" w:rsidRDefault="00A31B9F" w:rsidP="00B60B5D">
      <w:pPr>
        <w:spacing w:after="0"/>
        <w:ind w:right="-24"/>
        <w:rPr>
          <w:rFonts w:cs="Arial"/>
        </w:rPr>
      </w:pPr>
    </w:p>
    <w:p w14:paraId="40F98640" w14:textId="77777777" w:rsidR="00843693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Downsizing Reserve is predomina</w:t>
      </w:r>
      <w:r w:rsidR="00224312" w:rsidRPr="00027186">
        <w:rPr>
          <w:rFonts w:cs="Arial"/>
        </w:rPr>
        <w:t>n</w:t>
      </w:r>
      <w:r w:rsidRPr="00027186">
        <w:rPr>
          <w:rFonts w:cs="Arial"/>
        </w:rPr>
        <w:t xml:space="preserve">tly used to fund voluntary redundancies arising from the reduction </w:t>
      </w:r>
      <w:r w:rsidR="00733980" w:rsidRPr="00027186">
        <w:rPr>
          <w:rFonts w:cs="Arial"/>
        </w:rPr>
        <w:t>in the size of the organisation</w:t>
      </w:r>
      <w:r w:rsidR="00AB639B" w:rsidRPr="00027186">
        <w:rPr>
          <w:rFonts w:cs="Arial"/>
        </w:rPr>
        <w:t>.</w:t>
      </w:r>
      <w:r w:rsidR="00CE3339" w:rsidRPr="00027186">
        <w:rPr>
          <w:rFonts w:cs="Arial"/>
        </w:rPr>
        <w:t xml:space="preserve"> </w:t>
      </w:r>
    </w:p>
    <w:p w14:paraId="3FA01EDD" w14:textId="77777777" w:rsidR="00843693" w:rsidRPr="00027186" w:rsidRDefault="00843693" w:rsidP="00B60B5D">
      <w:pPr>
        <w:spacing w:after="0"/>
        <w:ind w:right="-24"/>
        <w:rPr>
          <w:rFonts w:cs="Arial"/>
        </w:rPr>
      </w:pPr>
    </w:p>
    <w:p w14:paraId="7CCCE769" w14:textId="77777777" w:rsidR="00FA2130" w:rsidRPr="00027186" w:rsidRDefault="00843693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This reserve currently has a balance of £86.663m. It is proposed that </w:t>
      </w:r>
      <w:r w:rsidR="00155727" w:rsidRPr="00027186">
        <w:rPr>
          <w:rFonts w:cs="Arial"/>
        </w:rPr>
        <w:t>£10.41</w:t>
      </w:r>
      <w:r w:rsidR="00CE3339" w:rsidRPr="00027186">
        <w:rPr>
          <w:rFonts w:cs="Arial"/>
        </w:rPr>
        <w:t xml:space="preserve">7m </w:t>
      </w:r>
      <w:r w:rsidRPr="00027186">
        <w:rPr>
          <w:rFonts w:cs="Arial"/>
        </w:rPr>
        <w:t>b</w:t>
      </w:r>
      <w:r w:rsidR="00CE3339" w:rsidRPr="00027186">
        <w:rPr>
          <w:rFonts w:cs="Arial"/>
        </w:rPr>
        <w:t>e transferred to the Transiti</w:t>
      </w:r>
      <w:r w:rsidRPr="00027186">
        <w:rPr>
          <w:rFonts w:cs="Arial"/>
        </w:rPr>
        <w:t xml:space="preserve">onal Reserve. There are a further £16.069m of forecasted redundancy costs for this year. </w:t>
      </w:r>
      <w:r w:rsidR="009177CF" w:rsidRPr="00027186">
        <w:rPr>
          <w:rFonts w:cs="Arial"/>
        </w:rPr>
        <w:t>It is estimated that there are</w:t>
      </w:r>
      <w:r w:rsidRPr="00027186">
        <w:rPr>
          <w:rFonts w:cs="Arial"/>
        </w:rPr>
        <w:t xml:space="preserve"> </w:t>
      </w:r>
      <w:r w:rsidR="00F52880" w:rsidRPr="00027186">
        <w:rPr>
          <w:rFonts w:cs="Arial"/>
        </w:rPr>
        <w:t>£60.177</w:t>
      </w:r>
      <w:r w:rsidRPr="00027186">
        <w:rPr>
          <w:rFonts w:cs="Arial"/>
        </w:rPr>
        <w:t xml:space="preserve">m of redundancy costs in 2016/17 and </w:t>
      </w:r>
      <w:r w:rsidR="00EE0DDA" w:rsidRPr="00027186">
        <w:rPr>
          <w:rFonts w:cs="Arial"/>
        </w:rPr>
        <w:t>2017/18</w:t>
      </w:r>
      <w:r w:rsidR="00EE0327" w:rsidRPr="00027186">
        <w:rPr>
          <w:rFonts w:cs="Arial"/>
        </w:rPr>
        <w:t xml:space="preserve"> which</w:t>
      </w:r>
      <w:r w:rsidR="00EE0DDA" w:rsidRPr="00027186">
        <w:rPr>
          <w:rFonts w:cs="Arial"/>
        </w:rPr>
        <w:t xml:space="preserve"> will reduce the reserve to a nil balance by 31</w:t>
      </w:r>
      <w:r w:rsidR="00EE0DDA" w:rsidRPr="00027186">
        <w:rPr>
          <w:rFonts w:cs="Arial"/>
          <w:vertAlign w:val="superscript"/>
        </w:rPr>
        <w:t>st</w:t>
      </w:r>
      <w:r w:rsidR="00EE0DDA" w:rsidRPr="00027186">
        <w:rPr>
          <w:rFonts w:cs="Arial"/>
        </w:rPr>
        <w:t xml:space="preserve"> March 2018.</w:t>
      </w:r>
      <w:r w:rsidRPr="00027186">
        <w:rPr>
          <w:rFonts w:cs="Arial"/>
        </w:rPr>
        <w:t xml:space="preserve"> </w:t>
      </w:r>
    </w:p>
    <w:p w14:paraId="5BD6B342" w14:textId="77777777" w:rsidR="00CE3339" w:rsidRPr="00027186" w:rsidRDefault="00CE3339" w:rsidP="00B60B5D">
      <w:pPr>
        <w:spacing w:after="0"/>
        <w:ind w:right="-24"/>
        <w:rPr>
          <w:rFonts w:cs="Arial"/>
        </w:rPr>
      </w:pPr>
    </w:p>
    <w:p w14:paraId="56A7DE97" w14:textId="77777777" w:rsidR="00CE3339" w:rsidRPr="00027186" w:rsidRDefault="00843693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Details of the commitments are shown in Annex B.</w:t>
      </w:r>
    </w:p>
    <w:p w14:paraId="01132B1D" w14:textId="77777777" w:rsidR="000C390F" w:rsidRPr="00027186" w:rsidRDefault="000C390F" w:rsidP="00B60B5D">
      <w:pPr>
        <w:spacing w:after="0"/>
        <w:ind w:right="-24"/>
        <w:rPr>
          <w:rFonts w:cs="Arial"/>
        </w:rPr>
      </w:pPr>
    </w:p>
    <w:p w14:paraId="5769AC5C" w14:textId="77777777" w:rsidR="008308E2" w:rsidRPr="00027186" w:rsidRDefault="008308E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3.4.2</w:t>
      </w:r>
      <w:r w:rsidR="00A31B9F" w:rsidRPr="00027186">
        <w:rPr>
          <w:rFonts w:cs="Arial"/>
          <w:b/>
        </w:rPr>
        <w:tab/>
      </w:r>
      <w:r w:rsidRPr="00027186">
        <w:rPr>
          <w:rFonts w:cs="Arial"/>
          <w:b/>
        </w:rPr>
        <w:t>Risk Management Reserve</w:t>
      </w:r>
    </w:p>
    <w:p w14:paraId="0C062170" w14:textId="77777777" w:rsidR="00A31B9F" w:rsidRPr="00027186" w:rsidRDefault="00A31B9F" w:rsidP="00B60B5D">
      <w:pPr>
        <w:spacing w:after="0"/>
        <w:ind w:right="-24"/>
        <w:rPr>
          <w:rFonts w:cs="Arial"/>
        </w:rPr>
      </w:pPr>
    </w:p>
    <w:p w14:paraId="623D86B9" w14:textId="77777777" w:rsidR="00843693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The Risk Management Reserve was </w:t>
      </w:r>
      <w:r w:rsidR="00E40C1B" w:rsidRPr="00027186">
        <w:rPr>
          <w:rFonts w:cs="Arial"/>
        </w:rPr>
        <w:t>created</w:t>
      </w:r>
      <w:r w:rsidRPr="00027186">
        <w:rPr>
          <w:rFonts w:cs="Arial"/>
        </w:rPr>
        <w:t xml:space="preserve"> as a result of extr</w:t>
      </w:r>
      <w:r w:rsidR="00224312" w:rsidRPr="00027186">
        <w:rPr>
          <w:rFonts w:cs="Arial"/>
        </w:rPr>
        <w:t>a</w:t>
      </w:r>
      <w:r w:rsidR="005C2638" w:rsidRPr="00027186">
        <w:rPr>
          <w:rFonts w:cs="Arial"/>
        </w:rPr>
        <w:t>ordinary Treasury Management p</w:t>
      </w:r>
      <w:r w:rsidRPr="00027186">
        <w:rPr>
          <w:rFonts w:cs="Arial"/>
        </w:rPr>
        <w:t>erformance during 2014/15</w:t>
      </w:r>
      <w:r w:rsidR="00A53AE1" w:rsidRPr="00027186">
        <w:rPr>
          <w:rFonts w:cs="Arial"/>
        </w:rPr>
        <w:t xml:space="preserve"> and previous years</w:t>
      </w:r>
      <w:r w:rsidRPr="00027186">
        <w:rPr>
          <w:rFonts w:cs="Arial"/>
        </w:rPr>
        <w:t>.  This reserve is available to help the authority manage risks to funding and service delivery going forward.</w:t>
      </w:r>
      <w:r w:rsidR="00EC5799" w:rsidRPr="00027186">
        <w:rPr>
          <w:rFonts w:cs="Arial"/>
        </w:rPr>
        <w:t xml:space="preserve">  </w:t>
      </w:r>
    </w:p>
    <w:p w14:paraId="6D665A85" w14:textId="77777777" w:rsidR="00843693" w:rsidRPr="00027186" w:rsidRDefault="00843693" w:rsidP="00B60B5D">
      <w:pPr>
        <w:spacing w:after="0"/>
        <w:ind w:right="-24"/>
        <w:rPr>
          <w:rFonts w:cs="Arial"/>
        </w:rPr>
      </w:pPr>
    </w:p>
    <w:p w14:paraId="0AAB8F10" w14:textId="77777777" w:rsidR="00EE0DDA" w:rsidRPr="00027186" w:rsidRDefault="00D23F0F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This reserve </w:t>
      </w:r>
      <w:r w:rsidR="00843693" w:rsidRPr="00027186">
        <w:rPr>
          <w:rFonts w:cs="Arial"/>
        </w:rPr>
        <w:t>currently has a balance of £</w:t>
      </w:r>
      <w:r w:rsidR="00EE0DDA" w:rsidRPr="00027186">
        <w:rPr>
          <w:rFonts w:cs="Arial"/>
        </w:rPr>
        <w:t>52.4</w:t>
      </w:r>
      <w:r w:rsidR="00282A88" w:rsidRPr="00027186">
        <w:rPr>
          <w:rFonts w:cs="Arial"/>
        </w:rPr>
        <w:t>26m. It is proposed that £18.683</w:t>
      </w:r>
      <w:r w:rsidR="00EE0DDA" w:rsidRPr="00027186">
        <w:rPr>
          <w:rFonts w:cs="Arial"/>
        </w:rPr>
        <w:t xml:space="preserve">m be transferred to </w:t>
      </w:r>
      <w:r w:rsidR="005D0F87" w:rsidRPr="00027186">
        <w:rPr>
          <w:rFonts w:cs="Arial"/>
        </w:rPr>
        <w:t>the Transitional Reserve and £20.843 set aside for other commitments.</w:t>
      </w:r>
    </w:p>
    <w:p w14:paraId="729C1E45" w14:textId="77777777" w:rsidR="00282A88" w:rsidRPr="00027186" w:rsidRDefault="00282A88" w:rsidP="00B60B5D">
      <w:pPr>
        <w:spacing w:after="0"/>
        <w:ind w:right="-24"/>
        <w:rPr>
          <w:rFonts w:cs="Arial"/>
        </w:rPr>
      </w:pPr>
    </w:p>
    <w:p w14:paraId="6A422584" w14:textId="77777777" w:rsidR="00EE0DDA" w:rsidRPr="00027186" w:rsidRDefault="00EE0DDA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remaining balance of £12.9m is planned to be used in 2016/17, leaving a nil balance by 31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March 2017.</w:t>
      </w:r>
    </w:p>
    <w:p w14:paraId="06A61AE3" w14:textId="77777777" w:rsidR="00FA2130" w:rsidRPr="00027186" w:rsidRDefault="00FA2130" w:rsidP="00B60B5D">
      <w:pPr>
        <w:spacing w:after="0"/>
        <w:ind w:right="-24"/>
        <w:rPr>
          <w:rFonts w:cs="Arial"/>
        </w:rPr>
      </w:pPr>
    </w:p>
    <w:p w14:paraId="2D623974" w14:textId="77777777" w:rsidR="00570C8B" w:rsidRPr="00027186" w:rsidRDefault="008308E2" w:rsidP="00570C8B">
      <w:pPr>
        <w:spacing w:after="0"/>
        <w:ind w:right="-24"/>
        <w:rPr>
          <w:rFonts w:cs="Arial"/>
          <w:b/>
        </w:rPr>
      </w:pPr>
      <w:r w:rsidRPr="00027186">
        <w:rPr>
          <w:rFonts w:cs="Arial"/>
        </w:rPr>
        <w:t>Details of the commitments are shown in Annex B</w:t>
      </w:r>
      <w:r w:rsidR="00535451" w:rsidRPr="00027186">
        <w:rPr>
          <w:rFonts w:cs="Arial"/>
        </w:rPr>
        <w:t>.</w:t>
      </w:r>
      <w:r w:rsidR="00570C8B" w:rsidRPr="00027186">
        <w:rPr>
          <w:rFonts w:cs="Arial"/>
          <w:b/>
        </w:rPr>
        <w:br w:type="page"/>
      </w:r>
    </w:p>
    <w:p w14:paraId="2C42D974" w14:textId="77777777" w:rsidR="008308E2" w:rsidRPr="00027186" w:rsidRDefault="00EF546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3.5</w:t>
      </w:r>
      <w:r w:rsidRPr="00027186">
        <w:rPr>
          <w:rFonts w:cs="Arial"/>
          <w:b/>
        </w:rPr>
        <w:tab/>
      </w:r>
      <w:r w:rsidR="008308E2" w:rsidRPr="00027186">
        <w:rPr>
          <w:rFonts w:cs="Arial"/>
          <w:b/>
        </w:rPr>
        <w:t>Service Reserves</w:t>
      </w:r>
    </w:p>
    <w:p w14:paraId="1B9D0777" w14:textId="77777777" w:rsidR="00A31B9F" w:rsidRPr="00027186" w:rsidRDefault="00A31B9F" w:rsidP="00B60B5D">
      <w:pPr>
        <w:spacing w:after="0"/>
        <w:ind w:right="-24"/>
        <w:rPr>
          <w:rFonts w:cs="Arial"/>
        </w:rPr>
      </w:pPr>
    </w:p>
    <w:p w14:paraId="72342F47" w14:textId="77777777" w:rsidR="00EB2EBE" w:rsidRPr="00027186" w:rsidRDefault="008308E2" w:rsidP="00EE0DDA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County Council hold</w:t>
      </w:r>
      <w:r w:rsidR="00B33C93" w:rsidRPr="00027186">
        <w:rPr>
          <w:rFonts w:cs="Arial"/>
        </w:rPr>
        <w:t>s</w:t>
      </w:r>
      <w:r w:rsidRPr="00027186">
        <w:rPr>
          <w:rFonts w:cs="Arial"/>
        </w:rPr>
        <w:t xml:space="preserve"> numerous reserves for specific service provision</w:t>
      </w:r>
      <w:r w:rsidR="00EE0DDA" w:rsidRPr="00027186">
        <w:rPr>
          <w:rFonts w:cs="Arial"/>
        </w:rPr>
        <w:t>.</w:t>
      </w:r>
    </w:p>
    <w:p w14:paraId="5706A8D5" w14:textId="77777777" w:rsidR="00EE0DDA" w:rsidRPr="00027186" w:rsidRDefault="00EE0DDA" w:rsidP="00EE0DDA">
      <w:pPr>
        <w:spacing w:after="0"/>
        <w:ind w:right="-24"/>
        <w:rPr>
          <w:rFonts w:cs="Arial"/>
        </w:rPr>
      </w:pPr>
    </w:p>
    <w:p w14:paraId="3587DEE7" w14:textId="77777777" w:rsidR="00EE2AF3" w:rsidRPr="00027186" w:rsidRDefault="00EE0DDA" w:rsidP="00EE0DDA">
      <w:pPr>
        <w:spacing w:after="0"/>
        <w:ind w:right="-24"/>
        <w:rPr>
          <w:rFonts w:cs="Arial"/>
        </w:rPr>
      </w:pPr>
      <w:r w:rsidRPr="00027186">
        <w:rPr>
          <w:rFonts w:cs="Arial"/>
        </w:rPr>
        <w:t>Currently, the reserves total £</w:t>
      </w:r>
      <w:r w:rsidR="00EE2AF3" w:rsidRPr="00027186">
        <w:rPr>
          <w:rFonts w:cs="Arial"/>
        </w:rPr>
        <w:t>142.681m.</w:t>
      </w:r>
      <w:r w:rsidR="00EE0327" w:rsidRPr="00027186">
        <w:rPr>
          <w:rFonts w:cs="Arial"/>
        </w:rPr>
        <w:t xml:space="preserve"> It is proposed that £51.369m be transferred to the Transitional Reserve.</w:t>
      </w:r>
      <w:r w:rsidR="00EE2AF3" w:rsidRPr="00027186">
        <w:rPr>
          <w:rFonts w:cs="Arial"/>
        </w:rPr>
        <w:t xml:space="preserve"> There are existing</w:t>
      </w:r>
      <w:r w:rsidR="00282A88" w:rsidRPr="00027186">
        <w:rPr>
          <w:rFonts w:cs="Arial"/>
        </w:rPr>
        <w:t xml:space="preserve"> </w:t>
      </w:r>
      <w:r w:rsidR="00EE0327" w:rsidRPr="00027186">
        <w:rPr>
          <w:rFonts w:cs="Arial"/>
        </w:rPr>
        <w:t>commitments to services of £49.7</w:t>
      </w:r>
      <w:r w:rsidR="00282A88" w:rsidRPr="00027186">
        <w:rPr>
          <w:rFonts w:cs="Arial"/>
        </w:rPr>
        <w:t>66</w:t>
      </w:r>
      <w:r w:rsidR="00EE2AF3" w:rsidRPr="00027186">
        <w:rPr>
          <w:rFonts w:cs="Arial"/>
        </w:rPr>
        <w:t xml:space="preserve">m (including a £39.5m commitment to the Growth Deal). </w:t>
      </w:r>
    </w:p>
    <w:p w14:paraId="387F107F" w14:textId="77777777" w:rsidR="00282A88" w:rsidRPr="00027186" w:rsidRDefault="00282A88" w:rsidP="00EE0DDA">
      <w:pPr>
        <w:spacing w:after="0"/>
        <w:ind w:right="-24"/>
        <w:rPr>
          <w:rFonts w:cs="Arial"/>
        </w:rPr>
      </w:pPr>
    </w:p>
    <w:p w14:paraId="7DA8A409" w14:textId="77777777" w:rsidR="00EE2AF3" w:rsidRPr="00027186" w:rsidRDefault="00EE2AF3" w:rsidP="00EE0DDA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There ar</w:t>
      </w:r>
      <w:r w:rsidR="00282A88" w:rsidRPr="00027186">
        <w:rPr>
          <w:rFonts w:cs="Arial"/>
        </w:rPr>
        <w:t xml:space="preserve">e </w:t>
      </w:r>
      <w:r w:rsidR="00EE0327" w:rsidRPr="00027186">
        <w:rPr>
          <w:rFonts w:cs="Arial"/>
        </w:rPr>
        <w:t xml:space="preserve">known </w:t>
      </w:r>
      <w:r w:rsidR="00282A88" w:rsidRPr="00027186">
        <w:rPr>
          <w:rFonts w:cs="Arial"/>
        </w:rPr>
        <w:t>commitments of £19.897</w:t>
      </w:r>
      <w:r w:rsidRPr="00027186">
        <w:rPr>
          <w:rFonts w:cs="Arial"/>
        </w:rPr>
        <w:t>m in 2016/17 and £1.036m in 2017/18 that</w:t>
      </w:r>
      <w:r w:rsidR="00A71A54" w:rsidRPr="00027186">
        <w:rPr>
          <w:rFonts w:cs="Arial"/>
        </w:rPr>
        <w:t xml:space="preserve"> will reduce the balance to </w:t>
      </w:r>
      <w:r w:rsidR="00282A88" w:rsidRPr="00027186">
        <w:rPr>
          <w:rFonts w:cs="Arial"/>
        </w:rPr>
        <w:t>£20.613</w:t>
      </w:r>
      <w:r w:rsidRPr="00027186">
        <w:rPr>
          <w:rFonts w:cs="Arial"/>
        </w:rPr>
        <w:t>m by 31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March 2018.</w:t>
      </w:r>
      <w:r w:rsidR="00F52880" w:rsidRPr="00027186">
        <w:rPr>
          <w:rFonts w:cs="Arial"/>
        </w:rPr>
        <w:t xml:space="preserve"> The majority of the</w:t>
      </w:r>
      <w:r w:rsidR="00A71A54" w:rsidRPr="00027186">
        <w:rPr>
          <w:rFonts w:cs="Arial"/>
        </w:rPr>
        <w:t xml:space="preserve"> balance in 2018 relates to</w:t>
      </w:r>
      <w:r w:rsidR="00F52880" w:rsidRPr="00027186">
        <w:rPr>
          <w:rFonts w:cs="Arial"/>
        </w:rPr>
        <w:t xml:space="preserve"> long term</w:t>
      </w:r>
      <w:r w:rsidR="00A71A54" w:rsidRPr="00027186">
        <w:rPr>
          <w:rFonts w:cs="Arial"/>
        </w:rPr>
        <w:t xml:space="preserve"> PFI programmes and </w:t>
      </w:r>
      <w:r w:rsidR="00F52880" w:rsidRPr="00027186">
        <w:rPr>
          <w:rFonts w:cs="Arial"/>
        </w:rPr>
        <w:t xml:space="preserve">ongoing </w:t>
      </w:r>
      <w:r w:rsidR="00A71A54" w:rsidRPr="00027186">
        <w:rPr>
          <w:rFonts w:cs="Arial"/>
        </w:rPr>
        <w:t>funding for Waste Plant</w:t>
      </w:r>
      <w:r w:rsidR="00F52880" w:rsidRPr="00027186">
        <w:rPr>
          <w:rFonts w:cs="Arial"/>
        </w:rPr>
        <w:t xml:space="preserve"> maintenance</w:t>
      </w:r>
      <w:r w:rsidR="00A71A54" w:rsidRPr="00027186">
        <w:rPr>
          <w:rFonts w:cs="Arial"/>
        </w:rPr>
        <w:t>.</w:t>
      </w:r>
    </w:p>
    <w:p w14:paraId="49A9ED8C" w14:textId="77777777" w:rsidR="00CB6B47" w:rsidRPr="00027186" w:rsidRDefault="00CB6B47" w:rsidP="00B60B5D">
      <w:pPr>
        <w:spacing w:after="0"/>
        <w:ind w:right="-24"/>
        <w:rPr>
          <w:rFonts w:cs="Arial"/>
        </w:rPr>
      </w:pPr>
    </w:p>
    <w:p w14:paraId="170AEC81" w14:textId="77777777" w:rsidR="008308E2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Details </w:t>
      </w:r>
      <w:r w:rsidR="00CB6B47" w:rsidRPr="00027186">
        <w:rPr>
          <w:rFonts w:cs="Arial"/>
        </w:rPr>
        <w:t xml:space="preserve">of the </w:t>
      </w:r>
      <w:r w:rsidR="00F351A2" w:rsidRPr="00027186">
        <w:rPr>
          <w:rFonts w:cs="Arial"/>
        </w:rPr>
        <w:t>Service R</w:t>
      </w:r>
      <w:r w:rsidR="00CB6B47" w:rsidRPr="00027186">
        <w:rPr>
          <w:rFonts w:cs="Arial"/>
        </w:rPr>
        <w:t>eserve</w:t>
      </w:r>
      <w:r w:rsidR="004E2AC4" w:rsidRPr="00027186">
        <w:rPr>
          <w:rFonts w:cs="Arial"/>
        </w:rPr>
        <w:t>s</w:t>
      </w:r>
      <w:r w:rsidR="00CB6B47" w:rsidRPr="00027186">
        <w:rPr>
          <w:rFonts w:cs="Arial"/>
        </w:rPr>
        <w:t xml:space="preserve"> </w:t>
      </w:r>
      <w:r w:rsidRPr="00027186">
        <w:rPr>
          <w:rFonts w:cs="Arial"/>
        </w:rPr>
        <w:t>are shown in Annex C.</w:t>
      </w:r>
    </w:p>
    <w:p w14:paraId="191FBFC5" w14:textId="77777777" w:rsidR="00A31B9F" w:rsidRPr="00027186" w:rsidRDefault="00A31B9F" w:rsidP="00B60B5D">
      <w:pPr>
        <w:spacing w:after="0"/>
        <w:ind w:right="-24"/>
        <w:rPr>
          <w:rFonts w:cs="Arial"/>
        </w:rPr>
      </w:pPr>
    </w:p>
    <w:p w14:paraId="720CB72A" w14:textId="77777777" w:rsidR="008308E2" w:rsidRPr="00027186" w:rsidRDefault="00EF5462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3.6</w:t>
      </w:r>
      <w:r w:rsidRPr="00027186">
        <w:rPr>
          <w:rFonts w:cs="Arial"/>
          <w:b/>
        </w:rPr>
        <w:tab/>
      </w:r>
      <w:r w:rsidR="008308E2" w:rsidRPr="00027186">
        <w:rPr>
          <w:rFonts w:cs="Arial"/>
          <w:b/>
        </w:rPr>
        <w:t>Schools</w:t>
      </w:r>
    </w:p>
    <w:p w14:paraId="6CDBB4D9" w14:textId="77777777" w:rsidR="00DF3D74" w:rsidRPr="00027186" w:rsidRDefault="00DF3D74" w:rsidP="00B60B5D">
      <w:pPr>
        <w:spacing w:after="0"/>
        <w:ind w:right="-24"/>
        <w:rPr>
          <w:rFonts w:cs="Arial"/>
        </w:rPr>
      </w:pPr>
    </w:p>
    <w:p w14:paraId="43B5ECEE" w14:textId="77777777" w:rsidR="00AB11FD" w:rsidRPr="00027186" w:rsidRDefault="008308E2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Under statute schools have delegated budgets. </w:t>
      </w:r>
      <w:r w:rsidR="00A31B9F" w:rsidRPr="00027186">
        <w:rPr>
          <w:rFonts w:cs="Arial"/>
        </w:rPr>
        <w:t xml:space="preserve"> </w:t>
      </w:r>
      <w:r w:rsidRPr="00027186">
        <w:rPr>
          <w:rFonts w:cs="Arial"/>
        </w:rPr>
        <w:t xml:space="preserve">It is the responsibility of the individual schools to maintain reserves to cover risks and meet future plans. </w:t>
      </w:r>
      <w:r w:rsidR="00A31B9F" w:rsidRPr="00027186">
        <w:rPr>
          <w:rFonts w:cs="Arial"/>
        </w:rPr>
        <w:t xml:space="preserve"> </w:t>
      </w:r>
      <w:r w:rsidR="00324827" w:rsidRPr="00027186">
        <w:rPr>
          <w:rFonts w:cs="Arial"/>
        </w:rPr>
        <w:t xml:space="preserve">As schools make their own delegated decisions on when to use reserves, </w:t>
      </w:r>
      <w:r w:rsidR="00DF3D74" w:rsidRPr="00027186">
        <w:rPr>
          <w:rFonts w:cs="Arial"/>
        </w:rPr>
        <w:t xml:space="preserve">no forecast is made. School reserves </w:t>
      </w:r>
      <w:r w:rsidRPr="00027186">
        <w:rPr>
          <w:rFonts w:cs="Arial"/>
        </w:rPr>
        <w:t>cannot be used for any other purpose.</w:t>
      </w:r>
      <w:r w:rsidR="00DF3D74" w:rsidRPr="00027186">
        <w:rPr>
          <w:rFonts w:cs="Arial"/>
        </w:rPr>
        <w:t xml:space="preserve"> The current status of schools' reserves is as follows:</w:t>
      </w:r>
    </w:p>
    <w:p w14:paraId="354F494B" w14:textId="77777777" w:rsidR="00307077" w:rsidRDefault="00307077" w:rsidP="00B60B5D">
      <w:pPr>
        <w:spacing w:after="0"/>
        <w:ind w:right="-24"/>
        <w:rPr>
          <w:rFonts w:cs="Arial"/>
          <w:b/>
        </w:rPr>
      </w:pPr>
    </w:p>
    <w:tbl>
      <w:tblPr>
        <w:tblW w:w="94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3"/>
        <w:gridCol w:w="2492"/>
        <w:gridCol w:w="2353"/>
        <w:gridCol w:w="2215"/>
      </w:tblGrid>
      <w:tr w:rsidR="00DF3D74" w:rsidRPr="00122701" w14:paraId="1C386524" w14:textId="77777777" w:rsidTr="00DF3D74">
        <w:trPr>
          <w:trHeight w:val="67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B8C20" w14:textId="77777777" w:rsidR="00DF3D74" w:rsidRPr="00122701" w:rsidRDefault="00DF3D74" w:rsidP="00A05E97">
            <w:pPr>
              <w:spacing w:after="0"/>
              <w:ind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Reserve Name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B8535" w14:textId="77777777" w:rsidR="00DF3D74" w:rsidRPr="00122701" w:rsidRDefault="00DF3D74" w:rsidP="0030304C">
            <w:pPr>
              <w:spacing w:after="0"/>
              <w:ind w:right="34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Opening Balance as at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1 April 2015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23D6F" w14:textId="77777777" w:rsidR="00DF3D74" w:rsidRPr="00122701" w:rsidRDefault="00DF3D74" w:rsidP="0030304C">
            <w:pPr>
              <w:spacing w:after="0"/>
              <w:ind w:left="-392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YTD actuals 2015/16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BBCD8" w14:textId="77777777" w:rsidR="00DF3D74" w:rsidRPr="00122701" w:rsidRDefault="00DF3D74" w:rsidP="0030304C">
            <w:pPr>
              <w:spacing w:after="0"/>
              <w:ind w:left="-109" w:right="-10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Forecast Closing </w:t>
            </w: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Balance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as at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br/>
              <w:t>31</w:t>
            </w:r>
            <w:r>
              <w:rPr>
                <w:rFonts w:eastAsia="Times New Roman" w:cs="Arial"/>
                <w:b/>
                <w:bCs/>
                <w:sz w:val="22"/>
                <w:szCs w:val="22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March 2016</w:t>
            </w:r>
          </w:p>
        </w:tc>
      </w:tr>
      <w:tr w:rsidR="00DF3D74" w:rsidRPr="00122701" w14:paraId="555DBD23" w14:textId="77777777" w:rsidTr="00DF3D74">
        <w:trPr>
          <w:trHeight w:val="30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CD22C" w14:textId="77777777" w:rsidR="00DF3D74" w:rsidRPr="00122701" w:rsidRDefault="00DF3D74" w:rsidP="00A05E97">
            <w:pPr>
              <w:spacing w:after="0"/>
              <w:ind w:right="-330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7AF63" w14:textId="77777777" w:rsidR="00DF3D74" w:rsidRPr="00122701" w:rsidRDefault="00DF3D74" w:rsidP="0030304C">
            <w:pPr>
              <w:spacing w:after="0"/>
              <w:ind w:right="34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C034CA" w14:textId="77777777" w:rsidR="00DF3D74" w:rsidRPr="00122701" w:rsidRDefault="00DF3D74" w:rsidP="0030304C">
            <w:pPr>
              <w:spacing w:after="0"/>
              <w:ind w:left="-392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622B1" w14:textId="77777777" w:rsidR="00DF3D74" w:rsidRPr="00122701" w:rsidRDefault="00DF3D74" w:rsidP="0030304C">
            <w:pPr>
              <w:spacing w:after="0"/>
              <w:ind w:left="-109" w:right="-330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£m</w:t>
            </w:r>
          </w:p>
        </w:tc>
      </w:tr>
      <w:tr w:rsidR="00DF3D74" w:rsidRPr="00122701" w14:paraId="32462C97" w14:textId="77777777" w:rsidTr="00DF3D74">
        <w:trPr>
          <w:trHeight w:val="30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C395" w14:textId="77777777" w:rsidR="00DF3D74" w:rsidRPr="00122701" w:rsidRDefault="00DF3D74" w:rsidP="00A05E97">
            <w:pPr>
              <w:spacing w:after="0"/>
              <w:ind w:right="-330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122701">
              <w:rPr>
                <w:rFonts w:eastAsia="Times New Roman" w:cs="Arial"/>
                <w:sz w:val="22"/>
                <w:szCs w:val="22"/>
                <w:lang w:eastAsia="en-GB"/>
              </w:rPr>
              <w:t>School Reserves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D2C4" w14:textId="77777777" w:rsidR="00DF3D74" w:rsidRPr="003461DA" w:rsidRDefault="00E65962" w:rsidP="0030304C">
            <w:pPr>
              <w:spacing w:after="0"/>
              <w:ind w:right="34"/>
              <w:jc w:val="center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461DA">
              <w:rPr>
                <w:rFonts w:eastAsia="Times New Roman" w:cs="Arial"/>
                <w:bCs/>
                <w:sz w:val="22"/>
                <w:szCs w:val="22"/>
                <w:lang w:eastAsia="en-GB"/>
              </w:rPr>
              <w:t>95.951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866A" w14:textId="77777777" w:rsidR="00DF3D74" w:rsidRPr="003461DA" w:rsidRDefault="002D09C5" w:rsidP="0030304C">
            <w:pPr>
              <w:spacing w:after="0"/>
              <w:ind w:left="-392" w:right="-330"/>
              <w:jc w:val="center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461DA">
              <w:rPr>
                <w:rFonts w:eastAsia="Times New Roman" w:cs="Arial"/>
                <w:bCs/>
                <w:sz w:val="22"/>
                <w:szCs w:val="22"/>
                <w:lang w:eastAsia="en-GB"/>
              </w:rPr>
              <w:t>7.221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68D9" w14:textId="77777777" w:rsidR="00DF3D74" w:rsidRPr="003461DA" w:rsidRDefault="002D09C5" w:rsidP="0030304C">
            <w:pPr>
              <w:spacing w:after="0"/>
              <w:ind w:left="-109" w:right="-330"/>
              <w:jc w:val="center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461DA">
              <w:rPr>
                <w:rFonts w:eastAsia="Times New Roman" w:cs="Arial"/>
                <w:bCs/>
                <w:sz w:val="22"/>
                <w:szCs w:val="22"/>
                <w:lang w:eastAsia="en-GB"/>
              </w:rPr>
              <w:t>88.730</w:t>
            </w:r>
          </w:p>
        </w:tc>
      </w:tr>
    </w:tbl>
    <w:p w14:paraId="49297BF0" w14:textId="77777777" w:rsidR="00DF3D74" w:rsidRDefault="00DF3D74" w:rsidP="00DF3D74">
      <w:pPr>
        <w:spacing w:after="0"/>
        <w:ind w:right="-330"/>
        <w:rPr>
          <w:rFonts w:cs="Arial"/>
        </w:rPr>
      </w:pPr>
    </w:p>
    <w:p w14:paraId="57849348" w14:textId="77777777" w:rsidR="008308E2" w:rsidRPr="008308E2" w:rsidRDefault="00EF5462" w:rsidP="00B60B5D">
      <w:pPr>
        <w:spacing w:after="0"/>
        <w:ind w:right="-24"/>
        <w:rPr>
          <w:rFonts w:cs="Arial"/>
          <w:b/>
        </w:rPr>
      </w:pPr>
      <w:r>
        <w:rPr>
          <w:rFonts w:cs="Arial"/>
          <w:b/>
        </w:rPr>
        <w:t>4</w:t>
      </w:r>
      <w:r w:rsidR="00E273DB">
        <w:rPr>
          <w:rFonts w:cs="Arial"/>
          <w:b/>
        </w:rPr>
        <w:t>.</w:t>
      </w:r>
      <w:r>
        <w:rPr>
          <w:rFonts w:cs="Arial"/>
          <w:b/>
        </w:rPr>
        <w:tab/>
      </w:r>
      <w:r w:rsidR="00224312">
        <w:rPr>
          <w:rFonts w:cs="Arial"/>
          <w:b/>
        </w:rPr>
        <w:t>Impact of 2015/16 O</w:t>
      </w:r>
      <w:r w:rsidR="008308E2" w:rsidRPr="008308E2">
        <w:rPr>
          <w:rFonts w:cs="Arial"/>
          <w:b/>
        </w:rPr>
        <w:t>utturn Forecast</w:t>
      </w:r>
    </w:p>
    <w:p w14:paraId="14131CFB" w14:textId="77777777" w:rsidR="008308E2" w:rsidRPr="008308E2" w:rsidRDefault="008308E2" w:rsidP="00B60B5D">
      <w:pPr>
        <w:spacing w:after="0"/>
        <w:ind w:right="-24"/>
        <w:rPr>
          <w:rFonts w:cs="Arial"/>
          <w:b/>
        </w:rPr>
      </w:pPr>
    </w:p>
    <w:p w14:paraId="3C4B8B45" w14:textId="5222B6A8" w:rsidR="00AF109C" w:rsidRPr="00027186" w:rsidRDefault="008308E2" w:rsidP="00A71A54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The </w:t>
      </w:r>
      <w:r w:rsidR="00CB6B47" w:rsidRPr="00027186">
        <w:rPr>
          <w:rFonts w:cs="Arial"/>
        </w:rPr>
        <w:t xml:space="preserve">current </w:t>
      </w:r>
      <w:r w:rsidRPr="00027186">
        <w:rPr>
          <w:rFonts w:cs="Arial"/>
        </w:rPr>
        <w:t xml:space="preserve">monitoring report is showing a potential </w:t>
      </w:r>
      <w:r w:rsidR="00A53AE1" w:rsidRPr="00027186">
        <w:rPr>
          <w:rFonts w:cs="Arial"/>
        </w:rPr>
        <w:t xml:space="preserve">demand on resources </w:t>
      </w:r>
      <w:r w:rsidR="00917301" w:rsidRPr="00027186">
        <w:rPr>
          <w:rFonts w:cs="Arial"/>
        </w:rPr>
        <w:t>of £9.591</w:t>
      </w:r>
      <w:r w:rsidR="00B05FDE" w:rsidRPr="00027186">
        <w:rPr>
          <w:rFonts w:cs="Arial"/>
        </w:rPr>
        <w:t xml:space="preserve">m </w:t>
      </w:r>
      <w:r w:rsidR="00A53AE1" w:rsidRPr="00027186">
        <w:rPr>
          <w:rFonts w:cs="Arial"/>
        </w:rPr>
        <w:t xml:space="preserve">as a result of </w:t>
      </w:r>
      <w:r w:rsidR="004439D4" w:rsidRPr="00027186">
        <w:rPr>
          <w:rFonts w:cs="Arial"/>
        </w:rPr>
        <w:t xml:space="preserve">this being </w:t>
      </w:r>
      <w:r w:rsidR="00A53AE1" w:rsidRPr="00027186">
        <w:rPr>
          <w:rFonts w:cs="Arial"/>
        </w:rPr>
        <w:t xml:space="preserve">the </w:t>
      </w:r>
      <w:r w:rsidR="004439D4" w:rsidRPr="00027186">
        <w:rPr>
          <w:rFonts w:cs="Arial"/>
        </w:rPr>
        <w:t xml:space="preserve">current </w:t>
      </w:r>
      <w:r w:rsidR="00A53AE1" w:rsidRPr="00027186">
        <w:rPr>
          <w:rFonts w:cs="Arial"/>
        </w:rPr>
        <w:t>forecast outturn</w:t>
      </w:r>
      <w:r w:rsidR="00AF109C" w:rsidRPr="00027186">
        <w:rPr>
          <w:rFonts w:cs="Arial"/>
        </w:rPr>
        <w:t xml:space="preserve"> </w:t>
      </w:r>
      <w:r w:rsidR="004439D4" w:rsidRPr="00027186">
        <w:rPr>
          <w:rFonts w:cs="Arial"/>
        </w:rPr>
        <w:t xml:space="preserve">overspend </w:t>
      </w:r>
      <w:r w:rsidR="00AF109C" w:rsidRPr="00027186">
        <w:rPr>
          <w:rFonts w:cs="Arial"/>
        </w:rPr>
        <w:t>position</w:t>
      </w:r>
      <w:r w:rsidRPr="00027186">
        <w:rPr>
          <w:rFonts w:cs="Arial"/>
        </w:rPr>
        <w:t>.</w:t>
      </w:r>
      <w:r w:rsidR="00E273DB" w:rsidRPr="00027186">
        <w:rPr>
          <w:rFonts w:cs="Arial"/>
        </w:rPr>
        <w:t xml:space="preserve"> </w:t>
      </w:r>
      <w:r w:rsidR="008D18C2" w:rsidRPr="00027186">
        <w:rPr>
          <w:rFonts w:cs="Arial"/>
        </w:rPr>
        <w:t>Thi</w:t>
      </w:r>
      <w:r w:rsidR="00282A88" w:rsidRPr="00027186">
        <w:rPr>
          <w:rFonts w:cs="Arial"/>
        </w:rPr>
        <w:t>s has been committed against the</w:t>
      </w:r>
      <w:r w:rsidR="008D18C2" w:rsidRPr="00027186">
        <w:rPr>
          <w:rFonts w:cs="Arial"/>
        </w:rPr>
        <w:t xml:space="preserve"> </w:t>
      </w:r>
      <w:r w:rsidR="00282A88" w:rsidRPr="00027186">
        <w:rPr>
          <w:rFonts w:cs="Arial"/>
        </w:rPr>
        <w:t>Transitional Reserve</w:t>
      </w:r>
      <w:r w:rsidR="00005D60" w:rsidRPr="00027186">
        <w:rPr>
          <w:rFonts w:cs="Arial"/>
        </w:rPr>
        <w:t>.</w:t>
      </w:r>
    </w:p>
    <w:p w14:paraId="392AB7D9" w14:textId="77777777" w:rsidR="00AF109C" w:rsidRPr="00027186" w:rsidRDefault="00AF109C" w:rsidP="00B60B5D">
      <w:pPr>
        <w:spacing w:after="0"/>
        <w:ind w:right="-24"/>
        <w:rPr>
          <w:rFonts w:cs="Arial"/>
        </w:rPr>
      </w:pPr>
    </w:p>
    <w:p w14:paraId="36DBDB3F" w14:textId="77777777" w:rsidR="00AF109C" w:rsidRPr="00027186" w:rsidRDefault="00AF109C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 xml:space="preserve">5. </w:t>
      </w:r>
      <w:r w:rsidR="00325737" w:rsidRPr="00027186">
        <w:rPr>
          <w:rFonts w:cs="Arial"/>
          <w:b/>
        </w:rPr>
        <w:t>Transitional Reserve and capital borrowing</w:t>
      </w:r>
    </w:p>
    <w:p w14:paraId="2B76CA71" w14:textId="77777777" w:rsidR="00325737" w:rsidRPr="00027186" w:rsidRDefault="00325737" w:rsidP="00B60B5D">
      <w:pPr>
        <w:spacing w:after="0"/>
        <w:ind w:right="-24"/>
        <w:rPr>
          <w:rFonts w:cs="Arial"/>
        </w:rPr>
      </w:pPr>
    </w:p>
    <w:p w14:paraId="074120A1" w14:textId="2BE4B2D3" w:rsidR="00F64C94" w:rsidRPr="00027186" w:rsidRDefault="00F64C94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plans announced at 26</w:t>
      </w:r>
      <w:r w:rsidRPr="00027186">
        <w:rPr>
          <w:rFonts w:cs="Arial"/>
          <w:vertAlign w:val="superscript"/>
        </w:rPr>
        <w:t>th</w:t>
      </w:r>
      <w:r w:rsidRPr="00027186">
        <w:rPr>
          <w:rFonts w:cs="Arial"/>
        </w:rPr>
        <w:t xml:space="preserve"> November Cabinet for the period 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April 2016 until 31</w:t>
      </w:r>
      <w:r w:rsidRPr="00027186">
        <w:rPr>
          <w:rFonts w:cs="Arial"/>
          <w:vertAlign w:val="superscript"/>
        </w:rPr>
        <w:t>st</w:t>
      </w:r>
      <w:r w:rsidRPr="00027186">
        <w:rPr>
          <w:rFonts w:cs="Arial"/>
        </w:rPr>
        <w:t xml:space="preserve"> March 2018 are heavily supported </w:t>
      </w:r>
      <w:r w:rsidR="00A05E97" w:rsidRPr="00027186">
        <w:rPr>
          <w:rFonts w:cs="Arial"/>
        </w:rPr>
        <w:t>by reserves. I</w:t>
      </w:r>
      <w:r w:rsidR="00A71A54" w:rsidRPr="00027186">
        <w:rPr>
          <w:rFonts w:cs="Arial"/>
        </w:rPr>
        <w:t>t is</w:t>
      </w:r>
      <w:r w:rsidRPr="00027186">
        <w:rPr>
          <w:rFonts w:cs="Arial"/>
        </w:rPr>
        <w:t xml:space="preserve"> proposed that a new Transitional Reserve would be created to provide a source of fundi</w:t>
      </w:r>
      <w:r w:rsidR="00F52880" w:rsidRPr="00027186">
        <w:rPr>
          <w:rFonts w:cs="Arial"/>
        </w:rPr>
        <w:t xml:space="preserve">ng for these plans. So far, the Cabinet plans have </w:t>
      </w:r>
      <w:r w:rsidR="002D05B4" w:rsidRPr="00027186">
        <w:rPr>
          <w:rFonts w:cs="Arial"/>
        </w:rPr>
        <w:t xml:space="preserve">specifically </w:t>
      </w:r>
      <w:r w:rsidR="00F52880" w:rsidRPr="00027186">
        <w:rPr>
          <w:rFonts w:cs="Arial"/>
        </w:rPr>
        <w:t>identified</w:t>
      </w:r>
      <w:r w:rsidR="002D05B4" w:rsidRPr="00027186">
        <w:rPr>
          <w:rFonts w:cs="Arial"/>
        </w:rPr>
        <w:t xml:space="preserve"> £65.959m </w:t>
      </w:r>
      <w:r w:rsidR="005D0F87" w:rsidRPr="00027186">
        <w:rPr>
          <w:rFonts w:cs="Arial"/>
        </w:rPr>
        <w:t xml:space="preserve">use of </w:t>
      </w:r>
      <w:r w:rsidRPr="00027186">
        <w:rPr>
          <w:rFonts w:cs="Arial"/>
        </w:rPr>
        <w:t xml:space="preserve">reserves </w:t>
      </w:r>
      <w:r w:rsidR="005D0F87" w:rsidRPr="00027186">
        <w:rPr>
          <w:rFonts w:cs="Arial"/>
        </w:rPr>
        <w:t>during</w:t>
      </w:r>
      <w:r w:rsidR="0087120B" w:rsidRPr="00027186">
        <w:rPr>
          <w:rFonts w:cs="Arial"/>
        </w:rPr>
        <w:t xml:space="preserve"> the</w:t>
      </w:r>
      <w:r w:rsidRPr="00027186">
        <w:rPr>
          <w:rFonts w:cs="Arial"/>
        </w:rPr>
        <w:t xml:space="preserve"> period. </w:t>
      </w:r>
      <w:r w:rsidR="001265CF" w:rsidRPr="00027186">
        <w:rPr>
          <w:rFonts w:cs="Arial"/>
        </w:rPr>
        <w:t xml:space="preserve">In addition, there was a </w:t>
      </w:r>
      <w:r w:rsidR="002D05B4" w:rsidRPr="00027186">
        <w:rPr>
          <w:rFonts w:cs="Arial"/>
        </w:rPr>
        <w:t>funding gap i</w:t>
      </w:r>
      <w:r w:rsidR="0087120B" w:rsidRPr="00027186">
        <w:rPr>
          <w:rFonts w:cs="Arial"/>
        </w:rPr>
        <w:t>dentified in</w:t>
      </w:r>
      <w:r w:rsidR="002D05B4" w:rsidRPr="00027186">
        <w:rPr>
          <w:rFonts w:cs="Arial"/>
        </w:rPr>
        <w:t xml:space="preserve"> the Medium Term Financial Strategy which </w:t>
      </w:r>
      <w:r w:rsidR="001265CF" w:rsidRPr="00027186">
        <w:rPr>
          <w:rFonts w:cs="Arial"/>
        </w:rPr>
        <w:t>was</w:t>
      </w:r>
      <w:r w:rsidR="0087120B" w:rsidRPr="00027186">
        <w:rPr>
          <w:rFonts w:cs="Arial"/>
        </w:rPr>
        <w:t xml:space="preserve"> </w:t>
      </w:r>
      <w:r w:rsidRPr="00027186">
        <w:rPr>
          <w:rFonts w:cs="Arial"/>
        </w:rPr>
        <w:t xml:space="preserve">also </w:t>
      </w:r>
      <w:r w:rsidR="0087120B" w:rsidRPr="00027186">
        <w:rPr>
          <w:rFonts w:cs="Arial"/>
        </w:rPr>
        <w:t xml:space="preserve">planned </w:t>
      </w:r>
      <w:r w:rsidR="004439D4" w:rsidRPr="00027186">
        <w:rPr>
          <w:rFonts w:cs="Arial"/>
        </w:rPr>
        <w:t xml:space="preserve">to </w:t>
      </w:r>
      <w:r w:rsidRPr="00027186">
        <w:rPr>
          <w:rFonts w:cs="Arial"/>
        </w:rPr>
        <w:t>be funded from reserves</w:t>
      </w:r>
      <w:r w:rsidR="0087120B" w:rsidRPr="00027186">
        <w:rPr>
          <w:rFonts w:cs="Arial"/>
        </w:rPr>
        <w:t xml:space="preserve">. As a result, a </w:t>
      </w:r>
      <w:r w:rsidRPr="00027186">
        <w:rPr>
          <w:rFonts w:cs="Arial"/>
        </w:rPr>
        <w:t>targe</w:t>
      </w:r>
      <w:r w:rsidR="002D05B4" w:rsidRPr="00027186">
        <w:rPr>
          <w:rFonts w:cs="Arial"/>
        </w:rPr>
        <w:t>t of £143.973m</w:t>
      </w:r>
      <w:r w:rsidRPr="00027186">
        <w:rPr>
          <w:rFonts w:cs="Arial"/>
        </w:rPr>
        <w:t xml:space="preserve"> was set for the </w:t>
      </w:r>
      <w:r w:rsidR="005D0F87" w:rsidRPr="00027186">
        <w:rPr>
          <w:rFonts w:cs="Arial"/>
        </w:rPr>
        <w:t>Transitional R</w:t>
      </w:r>
      <w:r w:rsidRPr="00027186">
        <w:rPr>
          <w:rFonts w:cs="Arial"/>
        </w:rPr>
        <w:t>eserve</w:t>
      </w:r>
      <w:r w:rsidR="004439D4" w:rsidRPr="00027186">
        <w:rPr>
          <w:rFonts w:cs="Arial"/>
        </w:rPr>
        <w:t xml:space="preserve"> in November</w:t>
      </w:r>
      <w:r w:rsidR="00A05E97" w:rsidRPr="00027186">
        <w:rPr>
          <w:rFonts w:cs="Arial"/>
        </w:rPr>
        <w:t xml:space="preserve"> 2015</w:t>
      </w:r>
      <w:r w:rsidR="004439D4" w:rsidRPr="00027186">
        <w:rPr>
          <w:rFonts w:cs="Arial"/>
        </w:rPr>
        <w:t xml:space="preserve">.  Following the financial settlement and revisions </w:t>
      </w:r>
      <w:r w:rsidR="0039080E" w:rsidRPr="00027186">
        <w:rPr>
          <w:rFonts w:cs="Arial"/>
        </w:rPr>
        <w:t xml:space="preserve">to the MTFS report at Appendix C, </w:t>
      </w:r>
      <w:r w:rsidR="004439D4" w:rsidRPr="00027186">
        <w:rPr>
          <w:rFonts w:cs="Arial"/>
        </w:rPr>
        <w:t>the upda</w:t>
      </w:r>
      <w:r w:rsidR="00762680" w:rsidRPr="00027186">
        <w:rPr>
          <w:rFonts w:cs="Arial"/>
        </w:rPr>
        <w:t xml:space="preserve">ted reserves requirement </w:t>
      </w:r>
      <w:r w:rsidR="001265CF" w:rsidRPr="00027186">
        <w:rPr>
          <w:rFonts w:cs="Arial"/>
        </w:rPr>
        <w:t xml:space="preserve">has </w:t>
      </w:r>
      <w:r w:rsidR="00EC5E56" w:rsidRPr="00027186">
        <w:rPr>
          <w:rFonts w:cs="Arial"/>
        </w:rPr>
        <w:t>increased to £145m</w:t>
      </w:r>
      <w:r w:rsidR="00762680" w:rsidRPr="00027186">
        <w:rPr>
          <w:rFonts w:cs="Arial"/>
        </w:rPr>
        <w:t>.</w:t>
      </w:r>
    </w:p>
    <w:p w14:paraId="688D7037" w14:textId="77777777" w:rsidR="00C40B15" w:rsidRPr="00027186" w:rsidRDefault="00C40B15" w:rsidP="00B60B5D">
      <w:pPr>
        <w:spacing w:after="0"/>
        <w:ind w:right="-24"/>
        <w:rPr>
          <w:rFonts w:cs="Arial"/>
        </w:rPr>
      </w:pPr>
    </w:p>
    <w:p w14:paraId="1516E2DF" w14:textId="77777777" w:rsidR="00C40B15" w:rsidRPr="00027186" w:rsidRDefault="00C40B15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It is also proposed that any external consultancy support to design and implement the </w:t>
      </w:r>
      <w:r w:rsidR="00041E11" w:rsidRPr="00027186">
        <w:rPr>
          <w:rFonts w:cs="Arial"/>
        </w:rPr>
        <w:t xml:space="preserve">County </w:t>
      </w:r>
      <w:r w:rsidRPr="00027186">
        <w:rPr>
          <w:rFonts w:cs="Arial"/>
        </w:rPr>
        <w:t>Council's future organisation model, is funded from the Transitional Reserve.</w:t>
      </w:r>
      <w:r w:rsidR="001701B4" w:rsidRPr="00027186">
        <w:rPr>
          <w:rFonts w:cs="Arial"/>
        </w:rPr>
        <w:t xml:space="preserve"> This external consultancy support was highlighted in financial reports to Cabinet in August 2015 and November 2015.</w:t>
      </w:r>
    </w:p>
    <w:p w14:paraId="2A0A4647" w14:textId="77777777" w:rsidR="00F64C94" w:rsidRPr="00027186" w:rsidRDefault="00F64C94" w:rsidP="00B60B5D">
      <w:pPr>
        <w:spacing w:after="0"/>
        <w:ind w:right="-24"/>
        <w:rPr>
          <w:rFonts w:cs="Arial"/>
        </w:rPr>
      </w:pPr>
    </w:p>
    <w:p w14:paraId="6736CD49" w14:textId="77777777" w:rsidR="00F35693" w:rsidRPr="00027186" w:rsidRDefault="00F64C94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 xml:space="preserve">In total, this report identifies </w:t>
      </w:r>
      <w:r w:rsidR="00C86488" w:rsidRPr="00027186">
        <w:rPr>
          <w:rFonts w:cs="Arial"/>
        </w:rPr>
        <w:t>£117.190</w:t>
      </w:r>
      <w:r w:rsidR="00F35693" w:rsidRPr="00027186">
        <w:rPr>
          <w:rFonts w:cs="Arial"/>
        </w:rPr>
        <w:t xml:space="preserve">m of reserves that can be used to create the Transitional Reserve. These transfers can be made from existing reserves that do not yet have binding commitments, are reserves from non-statutory services or </w:t>
      </w:r>
      <w:r w:rsidR="00435847" w:rsidRPr="00027186">
        <w:rPr>
          <w:rFonts w:cs="Arial"/>
        </w:rPr>
        <w:t>a</w:t>
      </w:r>
      <w:r w:rsidR="00F35693" w:rsidRPr="00027186">
        <w:rPr>
          <w:rFonts w:cs="Arial"/>
        </w:rPr>
        <w:t>re reserves intended for capital funding.</w:t>
      </w:r>
    </w:p>
    <w:p w14:paraId="3C6E4BE7" w14:textId="77777777" w:rsidR="00435847" w:rsidRPr="00027186" w:rsidRDefault="00435847" w:rsidP="00B60B5D">
      <w:pPr>
        <w:spacing w:after="0"/>
        <w:ind w:right="-24"/>
        <w:rPr>
          <w:rFonts w:cs="Arial"/>
        </w:rPr>
      </w:pPr>
    </w:p>
    <w:p w14:paraId="6E62A359" w14:textId="089338C3" w:rsidR="00435847" w:rsidRPr="00027186" w:rsidRDefault="00041E11" w:rsidP="00435847">
      <w:pPr>
        <w:spacing w:after="0"/>
        <w:ind w:right="-24"/>
        <w:rPr>
          <w:rFonts w:cs="Arial"/>
        </w:rPr>
      </w:pPr>
      <w:r w:rsidRPr="00027186">
        <w:rPr>
          <w:rFonts w:cs="Arial"/>
        </w:rPr>
        <w:t>£61.281</w:t>
      </w:r>
      <w:r w:rsidR="00435847" w:rsidRPr="00027186">
        <w:rPr>
          <w:rFonts w:cs="Arial"/>
        </w:rPr>
        <w:t xml:space="preserve">m of the </w:t>
      </w:r>
      <w:r w:rsidR="00C40B15" w:rsidRPr="00027186">
        <w:rPr>
          <w:rFonts w:cs="Arial"/>
        </w:rPr>
        <w:t>Transitional Reserve originates from previous</w:t>
      </w:r>
      <w:r w:rsidR="00435847" w:rsidRPr="00027186">
        <w:rPr>
          <w:rFonts w:cs="Arial"/>
        </w:rPr>
        <w:t xml:space="preserve"> reserves </w:t>
      </w:r>
      <w:r w:rsidR="00570C8B" w:rsidRPr="00027186">
        <w:rPr>
          <w:rFonts w:cs="Arial"/>
        </w:rPr>
        <w:t>set aside to fund</w:t>
      </w:r>
      <w:r w:rsidR="00F52880" w:rsidRPr="00027186">
        <w:rPr>
          <w:rFonts w:cs="Arial"/>
        </w:rPr>
        <w:t xml:space="preserve"> capital work</w:t>
      </w:r>
      <w:r w:rsidR="00C40B15" w:rsidRPr="00027186">
        <w:rPr>
          <w:rFonts w:cs="Arial"/>
        </w:rPr>
        <w:t>,</w:t>
      </w:r>
      <w:r w:rsidR="00F52880" w:rsidRPr="00027186">
        <w:rPr>
          <w:rFonts w:cs="Arial"/>
        </w:rPr>
        <w:t xml:space="preserve"> which can</w:t>
      </w:r>
      <w:r w:rsidR="00435847" w:rsidRPr="00027186">
        <w:rPr>
          <w:rFonts w:cs="Arial"/>
        </w:rPr>
        <w:t xml:space="preserve"> </w:t>
      </w:r>
      <w:r w:rsidR="00C40B15" w:rsidRPr="00027186">
        <w:rPr>
          <w:rFonts w:cs="Arial"/>
        </w:rPr>
        <w:t xml:space="preserve">now </w:t>
      </w:r>
      <w:r w:rsidR="00435847" w:rsidRPr="00027186">
        <w:rPr>
          <w:rFonts w:cs="Arial"/>
        </w:rPr>
        <w:t xml:space="preserve">be replaced by borrowing. </w:t>
      </w:r>
      <w:r w:rsidR="00917301" w:rsidRPr="00027186">
        <w:rPr>
          <w:rFonts w:cs="Arial"/>
        </w:rPr>
        <w:t>£55.909</w:t>
      </w:r>
      <w:r w:rsidRPr="00027186">
        <w:rPr>
          <w:rFonts w:cs="Arial"/>
        </w:rPr>
        <w:t>m relates to non-capital work and will be transferred directly from other reserves.</w:t>
      </w:r>
    </w:p>
    <w:p w14:paraId="592183A5" w14:textId="77777777" w:rsidR="00435847" w:rsidRPr="00027186" w:rsidRDefault="00435847" w:rsidP="00B60B5D">
      <w:pPr>
        <w:spacing w:after="0"/>
        <w:ind w:right="-24"/>
        <w:rPr>
          <w:rFonts w:cs="Arial"/>
        </w:rPr>
      </w:pPr>
    </w:p>
    <w:p w14:paraId="75C42396" w14:textId="46EA12EA" w:rsidR="00435847" w:rsidRPr="00027186" w:rsidRDefault="00041E11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It is proposed that the current foreca</w:t>
      </w:r>
      <w:r w:rsidR="00C86488" w:rsidRPr="00027186">
        <w:rPr>
          <w:rFonts w:cs="Arial"/>
        </w:rPr>
        <w:t>sted in-year overspend of £9.591</w:t>
      </w:r>
      <w:r w:rsidRPr="00027186">
        <w:rPr>
          <w:rFonts w:cs="Arial"/>
        </w:rPr>
        <w:t xml:space="preserve">m is set against the Transitional Reserve. </w:t>
      </w:r>
      <w:r w:rsidR="00435847" w:rsidRPr="00027186">
        <w:rPr>
          <w:rFonts w:cs="Arial"/>
        </w:rPr>
        <w:t xml:space="preserve">This would leave a balance of </w:t>
      </w:r>
      <w:r w:rsidR="00C86488" w:rsidRPr="00027186">
        <w:rPr>
          <w:rFonts w:cs="Arial"/>
        </w:rPr>
        <w:t>£107.599</w:t>
      </w:r>
      <w:r w:rsidR="00435847" w:rsidRPr="00027186">
        <w:rPr>
          <w:rFonts w:cs="Arial"/>
        </w:rPr>
        <w:t>m available to support the financial plans for the next two years</w:t>
      </w:r>
      <w:r w:rsidR="002D05B4" w:rsidRPr="00027186">
        <w:rPr>
          <w:rFonts w:cs="Arial"/>
        </w:rPr>
        <w:t xml:space="preserve"> which will go towards meeti</w:t>
      </w:r>
      <w:r w:rsidR="00E23A68" w:rsidRPr="00027186">
        <w:rPr>
          <w:rFonts w:cs="Arial"/>
        </w:rPr>
        <w:t>ng the overall £145</w:t>
      </w:r>
      <w:r w:rsidR="002D05B4" w:rsidRPr="00027186">
        <w:rPr>
          <w:rFonts w:cs="Arial"/>
        </w:rPr>
        <w:t>m that is required</w:t>
      </w:r>
      <w:r w:rsidR="00435847" w:rsidRPr="00027186">
        <w:rPr>
          <w:rFonts w:cs="Arial"/>
        </w:rPr>
        <w:t>.</w:t>
      </w:r>
      <w:r w:rsidR="00D73CD0" w:rsidRPr="00027186">
        <w:rPr>
          <w:rFonts w:cs="Arial"/>
        </w:rPr>
        <w:t xml:space="preserve"> If the planned changes to the Minimum Revenue Provision (MRP) policy are applied this year, then it is expected that this will be sufficient to cover the current forecast overspend of £9.591m and therefore the full £117.190m will be available for the Transitional Reserve</w:t>
      </w:r>
      <w:r w:rsidR="00E07FF4" w:rsidRPr="00027186">
        <w:rPr>
          <w:rFonts w:cs="Arial"/>
        </w:rPr>
        <w:t xml:space="preserve"> assuming a</w:t>
      </w:r>
      <w:r w:rsidR="00E23A68" w:rsidRPr="00027186">
        <w:rPr>
          <w:rFonts w:cs="Arial"/>
        </w:rPr>
        <w:t xml:space="preserve"> balanced position in 2015/16.</w:t>
      </w:r>
    </w:p>
    <w:p w14:paraId="3471A6FF" w14:textId="77777777" w:rsidR="0039080E" w:rsidRPr="00027186" w:rsidRDefault="0039080E" w:rsidP="00B60B5D">
      <w:pPr>
        <w:spacing w:after="0"/>
        <w:ind w:right="-24"/>
        <w:rPr>
          <w:rFonts w:cs="Arial"/>
        </w:rPr>
      </w:pPr>
    </w:p>
    <w:p w14:paraId="1940168E" w14:textId="7FAD2389" w:rsidR="00814640" w:rsidRPr="00027186" w:rsidRDefault="00814640" w:rsidP="00B60B5D">
      <w:pPr>
        <w:spacing w:after="0"/>
        <w:ind w:right="-24"/>
        <w:rPr>
          <w:rFonts w:cs="Arial"/>
        </w:rPr>
      </w:pPr>
      <w:r w:rsidRPr="00027186">
        <w:rPr>
          <w:rFonts w:cs="Arial"/>
        </w:rPr>
        <w:t>The contribution to the Transitional Reserve and the amount of capital spending that is</w:t>
      </w:r>
      <w:r w:rsidR="0087120B" w:rsidRPr="00027186">
        <w:rPr>
          <w:rFonts w:cs="Arial"/>
        </w:rPr>
        <w:t xml:space="preserve"> to be </w:t>
      </w:r>
      <w:r w:rsidRPr="00027186">
        <w:rPr>
          <w:rFonts w:cs="Arial"/>
        </w:rPr>
        <w:t xml:space="preserve">replaced </w:t>
      </w:r>
      <w:r w:rsidR="00D73CD0" w:rsidRPr="00027186">
        <w:rPr>
          <w:rFonts w:cs="Arial"/>
        </w:rPr>
        <w:t>by borrowing is tabulated below. The additional cost of the borrowing is reflected in the attached capital program</w:t>
      </w:r>
      <w:r w:rsidR="00A05E97" w:rsidRPr="00027186">
        <w:rPr>
          <w:rFonts w:cs="Arial"/>
        </w:rPr>
        <w:t>me</w:t>
      </w:r>
      <w:r w:rsidR="00D73CD0" w:rsidRPr="00027186">
        <w:rPr>
          <w:rFonts w:cs="Arial"/>
        </w:rPr>
        <w:t xml:space="preserve"> and MTFS reports.</w:t>
      </w:r>
    </w:p>
    <w:p w14:paraId="4AADFDC8" w14:textId="77777777" w:rsidR="00041E11" w:rsidRDefault="00041E11" w:rsidP="00B60B5D">
      <w:pPr>
        <w:spacing w:after="0"/>
        <w:ind w:right="-24"/>
        <w:rPr>
          <w:rFonts w:cs="Arial"/>
        </w:rPr>
      </w:pPr>
    </w:p>
    <w:p w14:paraId="0FEDCFD7" w14:textId="09CD0D53" w:rsidR="00041E11" w:rsidRDefault="00A05E97" w:rsidP="00B60B5D">
      <w:pPr>
        <w:spacing w:after="0"/>
        <w:ind w:right="-24"/>
        <w:rPr>
          <w:rFonts w:cs="Arial"/>
        </w:rPr>
      </w:pPr>
      <w:r w:rsidRPr="00A05E97">
        <w:rPr>
          <w:noProof/>
          <w:lang w:eastAsia="en-GB"/>
        </w:rPr>
        <w:drawing>
          <wp:inline distT="0" distB="0" distL="0" distR="0" wp14:anchorId="4402E89A" wp14:editId="1AE83B6F">
            <wp:extent cx="5925820" cy="31165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1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35BC" w14:textId="77777777" w:rsidR="00814640" w:rsidRDefault="00814640" w:rsidP="00B60B5D">
      <w:pPr>
        <w:spacing w:after="0"/>
        <w:ind w:right="-24"/>
        <w:rPr>
          <w:rFonts w:cs="Arial"/>
        </w:rPr>
      </w:pPr>
    </w:p>
    <w:p w14:paraId="2D5943D7" w14:textId="77777777" w:rsidR="0087120B" w:rsidRPr="00027186" w:rsidRDefault="00FF27C5" w:rsidP="00F3201C">
      <w:pPr>
        <w:autoSpaceDE/>
        <w:autoSpaceDN/>
        <w:adjustRightInd/>
        <w:spacing w:after="0"/>
        <w:rPr>
          <w:rFonts w:cs="Arial"/>
        </w:rPr>
      </w:pPr>
      <w:bookmarkStart w:id="0" w:name="_GoBack"/>
      <w:r w:rsidRPr="00027186">
        <w:rPr>
          <w:rFonts w:cs="Arial"/>
        </w:rPr>
        <w:t xml:space="preserve">The creation of the Transitional Reserve will have a significant impact on </w:t>
      </w:r>
      <w:r w:rsidR="00E33B55" w:rsidRPr="00027186">
        <w:rPr>
          <w:rFonts w:cs="Arial"/>
        </w:rPr>
        <w:t xml:space="preserve">certain </w:t>
      </w:r>
      <w:r w:rsidRPr="00027186">
        <w:rPr>
          <w:rFonts w:cs="Arial"/>
        </w:rPr>
        <w:t>current non-capital approvals for the use of the reserves. For example:</w:t>
      </w:r>
    </w:p>
    <w:p w14:paraId="18C62EC3" w14:textId="77777777" w:rsidR="00005D60" w:rsidRPr="00027186" w:rsidRDefault="00005D60" w:rsidP="00F3201C">
      <w:pPr>
        <w:autoSpaceDE/>
        <w:autoSpaceDN/>
        <w:adjustRightInd/>
        <w:spacing w:after="0"/>
        <w:rPr>
          <w:rFonts w:cs="Arial"/>
        </w:rPr>
      </w:pPr>
    </w:p>
    <w:p w14:paraId="548C6113" w14:textId="77777777" w:rsidR="00FF27C5" w:rsidRPr="00027186" w:rsidRDefault="00FF27C5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the Strategic Investment reserve, £9.038m was set aside for Promoting Sustainable Employment for Young People (approved by Cabinet in February 2012). Of this, it is proposed that £8.263m is transferred to the Transitional Reserve. This will affect the Authority's work regarding apprenticeships and lead to the programme ceasing at the end of March 2016.</w:t>
      </w:r>
    </w:p>
    <w:p w14:paraId="28750B2B" w14:textId="77777777" w:rsidR="00FF27C5" w:rsidRPr="00027186" w:rsidRDefault="00FF27C5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the Strategic Investment Reserve there is £3m set aside for Sustainable</w:t>
      </w:r>
      <w:r w:rsidR="00485432" w:rsidRPr="00027186">
        <w:rPr>
          <w:rFonts w:cs="Arial"/>
        </w:rPr>
        <w:t xml:space="preserve"> Employment in Adults</w:t>
      </w:r>
      <w:r w:rsidR="00F3201C" w:rsidRPr="00027186">
        <w:rPr>
          <w:rFonts w:cs="Arial"/>
        </w:rPr>
        <w:t xml:space="preserve"> (approved by Cabinet in February 2013)</w:t>
      </w:r>
      <w:r w:rsidR="00485432" w:rsidRPr="00027186">
        <w:rPr>
          <w:rFonts w:cs="Arial"/>
        </w:rPr>
        <w:t xml:space="preserve">. It is proposed the full £3m is transferred to the Transitional Reserve. </w:t>
      </w:r>
      <w:r w:rsidR="00F3201C" w:rsidRPr="00027186">
        <w:rPr>
          <w:rFonts w:cs="Arial"/>
        </w:rPr>
        <w:t>This was to provide a 3 year programme aimed at retraining and reskilling opportunities for adults across Lancashire, to enable them to access employment opportunities. This programme would then c</w:t>
      </w:r>
      <w:r w:rsidR="00E07FF4" w:rsidRPr="00027186">
        <w:rPr>
          <w:rFonts w:cs="Arial"/>
        </w:rPr>
        <w:t>e</w:t>
      </w:r>
      <w:r w:rsidR="00F3201C" w:rsidRPr="00027186">
        <w:rPr>
          <w:rFonts w:cs="Arial"/>
        </w:rPr>
        <w:t>ase in March 2016.</w:t>
      </w:r>
    </w:p>
    <w:p w14:paraId="2C11730A" w14:textId="1BA71865" w:rsidR="003D4FBB" w:rsidRPr="00027186" w:rsidRDefault="00FF6B3E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the Strategic Investment Reserve there is £1.3m set aside for joint working with Lancashire Constabulary in the "Early Action / Early Response" scheme. The reserve was to fund staffing for preventative work but only very limited recruitment has taken place. The remainder of the reserve is currently unused.</w:t>
      </w:r>
    </w:p>
    <w:p w14:paraId="271CEC6F" w14:textId="40C251C2" w:rsidR="00FF6B3E" w:rsidRPr="00027186" w:rsidRDefault="00FF6B3E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 xml:space="preserve">From the Downsizing Reserve, £10.417m has been found by recalculating the estimated VR costs and a reduction in the estimate of the </w:t>
      </w:r>
      <w:r w:rsidR="00A05E97" w:rsidRPr="00027186">
        <w:rPr>
          <w:rFonts w:cs="Arial"/>
        </w:rPr>
        <w:t xml:space="preserve">cost of the </w:t>
      </w:r>
      <w:r w:rsidRPr="00027186">
        <w:rPr>
          <w:rFonts w:cs="Arial"/>
        </w:rPr>
        <w:t xml:space="preserve">Adult Social Care Review. This </w:t>
      </w:r>
      <w:r w:rsidR="00A05E97" w:rsidRPr="00027186">
        <w:rPr>
          <w:rFonts w:cs="Arial"/>
        </w:rPr>
        <w:t xml:space="preserve">recalculation does </w:t>
      </w:r>
      <w:r w:rsidRPr="00027186">
        <w:rPr>
          <w:rFonts w:cs="Arial"/>
        </w:rPr>
        <w:t>not impact directly on frontline services.</w:t>
      </w:r>
    </w:p>
    <w:p w14:paraId="0B503A68" w14:textId="679D4978" w:rsidR="00FF6B3E" w:rsidRPr="00027186" w:rsidRDefault="00FF6B3E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Service Reserves, there is £6.215m set aside for Public Health. Having reviewed the proposed commitments for this reserve, £5.315m can be made available for the Transitional Reserve</w:t>
      </w:r>
      <w:r w:rsidR="00B521C5" w:rsidRPr="00027186">
        <w:rPr>
          <w:rFonts w:cs="Arial"/>
        </w:rPr>
        <w:t xml:space="preserve"> and this will be </w:t>
      </w:r>
      <w:proofErr w:type="spellStart"/>
      <w:r w:rsidR="00B521C5" w:rsidRPr="00027186">
        <w:rPr>
          <w:rFonts w:cs="Arial"/>
        </w:rPr>
        <w:t>ringfenced</w:t>
      </w:r>
      <w:proofErr w:type="spellEnd"/>
      <w:r w:rsidR="00B521C5" w:rsidRPr="00027186">
        <w:rPr>
          <w:rFonts w:cs="Arial"/>
        </w:rPr>
        <w:t xml:space="preserve"> to Public Health transformation</w:t>
      </w:r>
      <w:r w:rsidR="000016BA" w:rsidRPr="00027186">
        <w:rPr>
          <w:rFonts w:cs="Arial"/>
        </w:rPr>
        <w:t>.</w:t>
      </w:r>
    </w:p>
    <w:p w14:paraId="1D5EA576" w14:textId="5B717690" w:rsidR="000016BA" w:rsidRPr="00027186" w:rsidRDefault="000016BA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Service Reserves, there is £2.964m set aside for Development Services. These were planned to be used for one-off projects such as IT replacement or economic development activities. It is estimated that £2.136m can be made available for the Transitional Reserve.</w:t>
      </w:r>
    </w:p>
    <w:p w14:paraId="2ADE5C7D" w14:textId="3349A166" w:rsidR="000016BA" w:rsidRPr="00027186" w:rsidRDefault="000016BA" w:rsidP="00852C0B">
      <w:pPr>
        <w:pStyle w:val="ListParagraph"/>
        <w:numPr>
          <w:ilvl w:val="0"/>
          <w:numId w:val="39"/>
        </w:numPr>
        <w:autoSpaceDE/>
        <w:autoSpaceDN/>
        <w:adjustRightInd/>
        <w:spacing w:after="0"/>
        <w:ind w:left="360"/>
        <w:rPr>
          <w:rFonts w:cs="Arial"/>
        </w:rPr>
      </w:pPr>
      <w:r w:rsidRPr="00027186">
        <w:rPr>
          <w:rFonts w:cs="Arial"/>
        </w:rPr>
        <w:t>Within Service Reserves, there is £1.103m set aside for Buildings Repair and Renewals. This reserve could be transferred to the Transitional Reserve and any Buildings Repair work could be capitalised and replaced by borrowing.</w:t>
      </w:r>
    </w:p>
    <w:p w14:paraId="5EDAF90D" w14:textId="77777777" w:rsidR="00FF6B3E" w:rsidRPr="00027186" w:rsidRDefault="00FF6B3E" w:rsidP="003D4FBB">
      <w:pPr>
        <w:pStyle w:val="ListParagraph"/>
        <w:autoSpaceDE/>
        <w:autoSpaceDN/>
        <w:adjustRightInd/>
        <w:spacing w:after="0"/>
        <w:rPr>
          <w:rFonts w:cs="Arial"/>
        </w:rPr>
      </w:pPr>
    </w:p>
    <w:p w14:paraId="34770486" w14:textId="77777777" w:rsidR="00426D32" w:rsidRPr="00027186" w:rsidRDefault="00AF109C" w:rsidP="00B60B5D">
      <w:pPr>
        <w:spacing w:after="0"/>
        <w:ind w:right="-24"/>
        <w:rPr>
          <w:rFonts w:cs="Arial"/>
          <w:b/>
        </w:rPr>
      </w:pPr>
      <w:r w:rsidRPr="00027186">
        <w:rPr>
          <w:rFonts w:cs="Arial"/>
          <w:b/>
        </w:rPr>
        <w:t>6</w:t>
      </w:r>
      <w:r w:rsidR="00426D32" w:rsidRPr="00027186">
        <w:rPr>
          <w:rFonts w:cs="Arial"/>
          <w:b/>
        </w:rPr>
        <w:t>.</w:t>
      </w:r>
      <w:r w:rsidR="00426D32" w:rsidRPr="00027186">
        <w:rPr>
          <w:rFonts w:cs="Arial"/>
          <w:b/>
        </w:rPr>
        <w:tab/>
        <w:t>Conclusion</w:t>
      </w:r>
    </w:p>
    <w:p w14:paraId="54F563DE" w14:textId="77777777" w:rsidR="00D23F0F" w:rsidRPr="00027186" w:rsidRDefault="00D23F0F" w:rsidP="00B60B5D">
      <w:pPr>
        <w:pStyle w:val="PlainText"/>
        <w:ind w:right="-24"/>
        <w:rPr>
          <w:rFonts w:ascii="Arial" w:hAnsi="Arial" w:cs="Arial"/>
          <w:sz w:val="24"/>
          <w:szCs w:val="24"/>
        </w:rPr>
      </w:pPr>
    </w:p>
    <w:p w14:paraId="650517A9" w14:textId="77777777" w:rsidR="00814640" w:rsidRPr="00027186" w:rsidRDefault="005030EA" w:rsidP="00B60B5D">
      <w:pPr>
        <w:pStyle w:val="PlainText"/>
        <w:ind w:right="-24"/>
        <w:rPr>
          <w:rFonts w:ascii="Arial" w:hAnsi="Arial" w:cs="Arial"/>
          <w:sz w:val="24"/>
          <w:szCs w:val="24"/>
        </w:rPr>
      </w:pPr>
      <w:r w:rsidRPr="00027186">
        <w:rPr>
          <w:rFonts w:ascii="Arial" w:hAnsi="Arial" w:cs="Arial"/>
          <w:sz w:val="24"/>
          <w:szCs w:val="24"/>
        </w:rPr>
        <w:t>Following the 26</w:t>
      </w:r>
      <w:r w:rsidRPr="00027186">
        <w:rPr>
          <w:rFonts w:ascii="Arial" w:hAnsi="Arial" w:cs="Arial"/>
          <w:sz w:val="24"/>
          <w:szCs w:val="24"/>
          <w:vertAlign w:val="superscript"/>
        </w:rPr>
        <w:t>th</w:t>
      </w:r>
      <w:r w:rsidRPr="00027186">
        <w:rPr>
          <w:rFonts w:ascii="Arial" w:hAnsi="Arial" w:cs="Arial"/>
          <w:sz w:val="24"/>
          <w:szCs w:val="24"/>
        </w:rPr>
        <w:t xml:space="preserve"> November Cabinet decision recommending the use of reserve</w:t>
      </w:r>
      <w:r w:rsidR="00C86488" w:rsidRPr="00027186">
        <w:rPr>
          <w:rFonts w:ascii="Arial" w:hAnsi="Arial" w:cs="Arial"/>
          <w:sz w:val="24"/>
          <w:szCs w:val="24"/>
        </w:rPr>
        <w:t>s</w:t>
      </w:r>
      <w:r w:rsidRPr="00027186">
        <w:rPr>
          <w:rFonts w:ascii="Arial" w:hAnsi="Arial" w:cs="Arial"/>
          <w:sz w:val="24"/>
          <w:szCs w:val="24"/>
        </w:rPr>
        <w:t xml:space="preserve"> to support the financial plans for 2016</w:t>
      </w:r>
      <w:r w:rsidR="001701B4" w:rsidRPr="00027186">
        <w:rPr>
          <w:rFonts w:ascii="Arial" w:hAnsi="Arial" w:cs="Arial"/>
          <w:sz w:val="24"/>
          <w:szCs w:val="24"/>
        </w:rPr>
        <w:t>/17 and</w:t>
      </w:r>
      <w:r w:rsidRPr="00027186">
        <w:rPr>
          <w:rFonts w:ascii="Arial" w:hAnsi="Arial" w:cs="Arial"/>
          <w:sz w:val="24"/>
          <w:szCs w:val="24"/>
        </w:rPr>
        <w:t xml:space="preserve"> 20</w:t>
      </w:r>
      <w:r w:rsidR="001701B4" w:rsidRPr="00027186">
        <w:rPr>
          <w:rFonts w:ascii="Arial" w:hAnsi="Arial" w:cs="Arial"/>
          <w:sz w:val="24"/>
          <w:szCs w:val="24"/>
        </w:rPr>
        <w:t>17/18</w:t>
      </w:r>
      <w:r w:rsidRPr="00027186">
        <w:rPr>
          <w:rFonts w:ascii="Arial" w:hAnsi="Arial" w:cs="Arial"/>
          <w:sz w:val="24"/>
          <w:szCs w:val="24"/>
        </w:rPr>
        <w:t xml:space="preserve">, the </w:t>
      </w:r>
      <w:r w:rsidR="00C86488" w:rsidRPr="00027186">
        <w:rPr>
          <w:rFonts w:ascii="Arial" w:hAnsi="Arial" w:cs="Arial"/>
          <w:sz w:val="24"/>
          <w:szCs w:val="24"/>
        </w:rPr>
        <w:t>commitments against reserves have</w:t>
      </w:r>
      <w:r w:rsidRPr="00027186">
        <w:rPr>
          <w:rFonts w:ascii="Arial" w:hAnsi="Arial" w:cs="Arial"/>
          <w:sz w:val="24"/>
          <w:szCs w:val="24"/>
        </w:rPr>
        <w:t xml:space="preserve"> been reviewed. </w:t>
      </w:r>
    </w:p>
    <w:p w14:paraId="0F698A56" w14:textId="77777777" w:rsidR="00A972C8" w:rsidRPr="00027186" w:rsidRDefault="00A972C8" w:rsidP="00B60B5D">
      <w:pPr>
        <w:pStyle w:val="PlainText"/>
        <w:ind w:right="-24"/>
        <w:rPr>
          <w:rFonts w:ascii="Arial" w:hAnsi="Arial" w:cs="Arial"/>
          <w:sz w:val="24"/>
          <w:szCs w:val="24"/>
        </w:rPr>
      </w:pPr>
    </w:p>
    <w:p w14:paraId="5EECB3D9" w14:textId="07741DEC" w:rsidR="00A972C8" w:rsidRPr="00027186" w:rsidRDefault="00D73CD0" w:rsidP="00B60B5D">
      <w:pPr>
        <w:pStyle w:val="PlainText"/>
        <w:ind w:right="-24"/>
        <w:rPr>
          <w:rFonts w:ascii="Arial" w:hAnsi="Arial" w:cs="Arial"/>
          <w:sz w:val="24"/>
          <w:szCs w:val="24"/>
        </w:rPr>
      </w:pPr>
      <w:r w:rsidRPr="00027186">
        <w:rPr>
          <w:rFonts w:ascii="Arial" w:hAnsi="Arial" w:cs="Arial"/>
          <w:sz w:val="24"/>
          <w:szCs w:val="24"/>
        </w:rPr>
        <w:t>This would enable</w:t>
      </w:r>
      <w:r w:rsidR="00C86488" w:rsidRPr="00027186">
        <w:rPr>
          <w:rFonts w:ascii="Arial" w:hAnsi="Arial" w:cs="Arial"/>
          <w:sz w:val="24"/>
          <w:szCs w:val="24"/>
        </w:rPr>
        <w:t xml:space="preserve"> the creation of a</w:t>
      </w:r>
      <w:r w:rsidR="00E07FF4" w:rsidRPr="00027186">
        <w:rPr>
          <w:rFonts w:ascii="Arial" w:hAnsi="Arial" w:cs="Arial"/>
          <w:sz w:val="24"/>
          <w:szCs w:val="24"/>
        </w:rPr>
        <w:t xml:space="preserve">n estimated </w:t>
      </w:r>
      <w:r w:rsidR="00904B4A" w:rsidRPr="00027186">
        <w:rPr>
          <w:rFonts w:ascii="Arial" w:hAnsi="Arial" w:cs="Arial"/>
          <w:sz w:val="24"/>
          <w:szCs w:val="24"/>
        </w:rPr>
        <w:t>£117.190</w:t>
      </w:r>
      <w:r w:rsidR="00A972C8" w:rsidRPr="00027186">
        <w:rPr>
          <w:rFonts w:ascii="Arial" w:hAnsi="Arial" w:cs="Arial"/>
          <w:sz w:val="24"/>
          <w:szCs w:val="24"/>
        </w:rPr>
        <w:t>m</w:t>
      </w:r>
      <w:r w:rsidR="00E07FF4" w:rsidRPr="00027186">
        <w:rPr>
          <w:rFonts w:ascii="Arial" w:hAnsi="Arial" w:cs="Arial"/>
          <w:sz w:val="24"/>
          <w:szCs w:val="24"/>
        </w:rPr>
        <w:t xml:space="preserve"> </w:t>
      </w:r>
      <w:r w:rsidR="00A972C8" w:rsidRPr="00027186">
        <w:rPr>
          <w:rFonts w:ascii="Arial" w:hAnsi="Arial" w:cs="Arial"/>
          <w:sz w:val="24"/>
          <w:szCs w:val="24"/>
        </w:rPr>
        <w:t>Transformation Reserve which will help to support the financial strategy for the next two years. The majority of this reserve has been created by replacing the use of reserve</w:t>
      </w:r>
      <w:r w:rsidR="007D70C1" w:rsidRPr="00027186">
        <w:rPr>
          <w:rFonts w:ascii="Arial" w:hAnsi="Arial" w:cs="Arial"/>
          <w:sz w:val="24"/>
          <w:szCs w:val="24"/>
        </w:rPr>
        <w:t>s</w:t>
      </w:r>
      <w:r w:rsidR="00A972C8" w:rsidRPr="00027186">
        <w:rPr>
          <w:rFonts w:ascii="Arial" w:hAnsi="Arial" w:cs="Arial"/>
          <w:sz w:val="24"/>
          <w:szCs w:val="24"/>
        </w:rPr>
        <w:t xml:space="preserve"> </w:t>
      </w:r>
      <w:r w:rsidR="007D70C1" w:rsidRPr="00027186">
        <w:rPr>
          <w:rFonts w:ascii="Arial" w:hAnsi="Arial" w:cs="Arial"/>
          <w:sz w:val="24"/>
          <w:szCs w:val="24"/>
        </w:rPr>
        <w:t>for capital work with borrowing, without affecting</w:t>
      </w:r>
      <w:r w:rsidR="00A972C8" w:rsidRPr="00027186">
        <w:rPr>
          <w:rFonts w:ascii="Arial" w:hAnsi="Arial" w:cs="Arial"/>
          <w:sz w:val="24"/>
          <w:szCs w:val="24"/>
        </w:rPr>
        <w:t xml:space="preserve"> service d</w:t>
      </w:r>
      <w:r w:rsidR="007D70C1" w:rsidRPr="00027186">
        <w:rPr>
          <w:rFonts w:ascii="Arial" w:hAnsi="Arial" w:cs="Arial"/>
          <w:sz w:val="24"/>
          <w:szCs w:val="24"/>
        </w:rPr>
        <w:t>elivery</w:t>
      </w:r>
      <w:r w:rsidR="00A972C8" w:rsidRPr="00027186">
        <w:rPr>
          <w:rFonts w:ascii="Arial" w:hAnsi="Arial" w:cs="Arial"/>
          <w:sz w:val="24"/>
          <w:szCs w:val="24"/>
        </w:rPr>
        <w:t xml:space="preserve">. The </w:t>
      </w:r>
      <w:r w:rsidR="002059DA" w:rsidRPr="00027186">
        <w:rPr>
          <w:rFonts w:ascii="Arial" w:hAnsi="Arial" w:cs="Arial"/>
          <w:sz w:val="24"/>
          <w:szCs w:val="24"/>
        </w:rPr>
        <w:t xml:space="preserve">remainder of the Transitional Reserve originates from </w:t>
      </w:r>
      <w:r w:rsidR="00A972C8" w:rsidRPr="00027186">
        <w:rPr>
          <w:rFonts w:ascii="Arial" w:hAnsi="Arial" w:cs="Arial"/>
          <w:sz w:val="24"/>
          <w:szCs w:val="24"/>
        </w:rPr>
        <w:t>under-utilised reserves or from non-statutory services.</w:t>
      </w:r>
      <w:r w:rsidR="00EC5E56" w:rsidRPr="00027186">
        <w:rPr>
          <w:rFonts w:ascii="Arial" w:hAnsi="Arial" w:cs="Arial"/>
          <w:sz w:val="24"/>
          <w:szCs w:val="24"/>
        </w:rPr>
        <w:t xml:space="preserve"> </w:t>
      </w:r>
      <w:r w:rsidR="00904B4A" w:rsidRPr="00027186">
        <w:rPr>
          <w:rFonts w:ascii="Arial" w:hAnsi="Arial" w:cs="Arial"/>
          <w:sz w:val="24"/>
          <w:szCs w:val="24"/>
        </w:rPr>
        <w:t>The total amount of reserves funding required i</w:t>
      </w:r>
      <w:r w:rsidR="00EC5E56" w:rsidRPr="00027186">
        <w:rPr>
          <w:rFonts w:ascii="Arial" w:hAnsi="Arial" w:cs="Arial"/>
          <w:sz w:val="24"/>
          <w:szCs w:val="24"/>
        </w:rPr>
        <w:t>s currently estimated to be £145</w:t>
      </w:r>
      <w:r w:rsidR="00904B4A" w:rsidRPr="00027186">
        <w:rPr>
          <w:rFonts w:ascii="Arial" w:hAnsi="Arial" w:cs="Arial"/>
          <w:sz w:val="24"/>
          <w:szCs w:val="24"/>
        </w:rPr>
        <w:t>m.</w:t>
      </w:r>
      <w:r w:rsidR="00EC5E56" w:rsidRPr="00027186">
        <w:rPr>
          <w:rFonts w:ascii="Arial" w:hAnsi="Arial" w:cs="Arial"/>
          <w:sz w:val="24"/>
          <w:szCs w:val="24"/>
        </w:rPr>
        <w:t xml:space="preserve"> </w:t>
      </w:r>
    </w:p>
    <w:p w14:paraId="39BC64EC" w14:textId="77777777" w:rsidR="00A972C8" w:rsidRPr="00027186" w:rsidRDefault="00A972C8" w:rsidP="00B60B5D">
      <w:pPr>
        <w:pStyle w:val="PlainText"/>
        <w:ind w:right="-24"/>
        <w:rPr>
          <w:rFonts w:ascii="Arial" w:hAnsi="Arial" w:cs="Arial"/>
          <w:sz w:val="24"/>
          <w:szCs w:val="24"/>
        </w:rPr>
      </w:pPr>
    </w:p>
    <w:p w14:paraId="2A643A04" w14:textId="67B2E584" w:rsidR="00A972C8" w:rsidRPr="00027186" w:rsidRDefault="00041E11" w:rsidP="00B60B5D">
      <w:pPr>
        <w:pStyle w:val="PlainText"/>
        <w:ind w:right="-24"/>
        <w:rPr>
          <w:rFonts w:ascii="Arial" w:hAnsi="Arial" w:cs="Arial"/>
          <w:sz w:val="24"/>
          <w:szCs w:val="24"/>
        </w:rPr>
        <w:sectPr w:rsidR="00A972C8" w:rsidRPr="00027186" w:rsidSect="00365603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  <w:r w:rsidRPr="00027186">
        <w:rPr>
          <w:rFonts w:ascii="Arial" w:hAnsi="Arial" w:cs="Arial"/>
          <w:sz w:val="24"/>
          <w:szCs w:val="24"/>
        </w:rPr>
        <w:t>B</w:t>
      </w:r>
      <w:r w:rsidR="00A972C8" w:rsidRPr="00027186">
        <w:rPr>
          <w:rFonts w:ascii="Arial" w:hAnsi="Arial" w:cs="Arial"/>
          <w:sz w:val="24"/>
          <w:szCs w:val="24"/>
        </w:rPr>
        <w:t>y 31</w:t>
      </w:r>
      <w:r w:rsidR="00A972C8" w:rsidRPr="00027186">
        <w:rPr>
          <w:rFonts w:ascii="Arial" w:hAnsi="Arial" w:cs="Arial"/>
          <w:sz w:val="24"/>
          <w:szCs w:val="24"/>
          <w:vertAlign w:val="superscript"/>
        </w:rPr>
        <w:t>st</w:t>
      </w:r>
      <w:r w:rsidR="00A972C8" w:rsidRPr="00027186">
        <w:rPr>
          <w:rFonts w:ascii="Arial" w:hAnsi="Arial" w:cs="Arial"/>
          <w:sz w:val="24"/>
          <w:szCs w:val="24"/>
        </w:rPr>
        <w:t xml:space="preserve"> March 2018</w:t>
      </w:r>
      <w:r w:rsidR="005F2A49" w:rsidRPr="00027186">
        <w:rPr>
          <w:rFonts w:ascii="Arial" w:hAnsi="Arial" w:cs="Arial"/>
          <w:sz w:val="24"/>
          <w:szCs w:val="24"/>
        </w:rPr>
        <w:t>,</w:t>
      </w:r>
      <w:r w:rsidR="00A972C8" w:rsidRPr="00027186">
        <w:rPr>
          <w:rFonts w:ascii="Arial" w:hAnsi="Arial" w:cs="Arial"/>
          <w:sz w:val="24"/>
          <w:szCs w:val="24"/>
        </w:rPr>
        <w:t xml:space="preserve"> </w:t>
      </w:r>
      <w:r w:rsidR="005F2A49" w:rsidRPr="00027186">
        <w:rPr>
          <w:rFonts w:ascii="Arial" w:hAnsi="Arial" w:cs="Arial"/>
          <w:sz w:val="24"/>
          <w:szCs w:val="24"/>
        </w:rPr>
        <w:t xml:space="preserve">apart from the </w:t>
      </w:r>
      <w:r w:rsidRPr="00027186">
        <w:rPr>
          <w:rFonts w:ascii="Arial" w:hAnsi="Arial" w:cs="Arial"/>
          <w:sz w:val="24"/>
          <w:szCs w:val="24"/>
        </w:rPr>
        <w:t xml:space="preserve">£36m </w:t>
      </w:r>
      <w:r w:rsidR="005F2A49" w:rsidRPr="00027186">
        <w:rPr>
          <w:rFonts w:ascii="Arial" w:hAnsi="Arial" w:cs="Arial"/>
          <w:sz w:val="24"/>
          <w:szCs w:val="24"/>
        </w:rPr>
        <w:t>County Fund</w:t>
      </w:r>
      <w:r w:rsidR="002059DA" w:rsidRPr="00027186">
        <w:rPr>
          <w:rFonts w:ascii="Arial" w:hAnsi="Arial" w:cs="Arial"/>
          <w:sz w:val="24"/>
          <w:szCs w:val="24"/>
        </w:rPr>
        <w:t xml:space="preserve"> and the £20.613m Service Reserves, all</w:t>
      </w:r>
      <w:r w:rsidR="00A972C8" w:rsidRPr="00027186">
        <w:rPr>
          <w:rFonts w:ascii="Arial" w:hAnsi="Arial" w:cs="Arial"/>
          <w:sz w:val="24"/>
          <w:szCs w:val="24"/>
        </w:rPr>
        <w:t xml:space="preserve"> reserves will have been u</w:t>
      </w:r>
      <w:r w:rsidR="005F2A49" w:rsidRPr="00027186">
        <w:rPr>
          <w:rFonts w:ascii="Arial" w:hAnsi="Arial" w:cs="Arial"/>
          <w:sz w:val="24"/>
          <w:szCs w:val="24"/>
        </w:rPr>
        <w:t>tilised</w:t>
      </w:r>
      <w:r w:rsidRPr="00027186">
        <w:rPr>
          <w:rFonts w:ascii="Arial" w:hAnsi="Arial" w:cs="Arial"/>
          <w:sz w:val="24"/>
          <w:szCs w:val="24"/>
        </w:rPr>
        <w:t xml:space="preserve">. </w:t>
      </w:r>
      <w:r w:rsidR="002059DA" w:rsidRPr="00027186">
        <w:rPr>
          <w:rFonts w:ascii="Arial" w:hAnsi="Arial" w:cs="Arial"/>
          <w:sz w:val="24"/>
          <w:szCs w:val="24"/>
        </w:rPr>
        <w:t xml:space="preserve">This </w:t>
      </w:r>
      <w:r w:rsidR="00A05E97" w:rsidRPr="00027186">
        <w:rPr>
          <w:rFonts w:ascii="Arial" w:hAnsi="Arial" w:cs="Arial"/>
          <w:sz w:val="24"/>
          <w:szCs w:val="24"/>
        </w:rPr>
        <w:t>will leave the County Council</w:t>
      </w:r>
      <w:r w:rsidR="00A972C8" w:rsidRPr="00027186">
        <w:rPr>
          <w:rFonts w:ascii="Arial" w:hAnsi="Arial" w:cs="Arial"/>
          <w:sz w:val="24"/>
          <w:szCs w:val="24"/>
        </w:rPr>
        <w:t xml:space="preserve"> with minimal </w:t>
      </w:r>
      <w:r w:rsidRPr="00027186">
        <w:rPr>
          <w:rFonts w:ascii="Arial" w:hAnsi="Arial" w:cs="Arial"/>
          <w:sz w:val="24"/>
          <w:szCs w:val="24"/>
        </w:rPr>
        <w:t xml:space="preserve">reserve </w:t>
      </w:r>
      <w:r w:rsidR="00A972C8" w:rsidRPr="00027186">
        <w:rPr>
          <w:rFonts w:ascii="Arial" w:hAnsi="Arial" w:cs="Arial"/>
          <w:sz w:val="24"/>
          <w:szCs w:val="24"/>
        </w:rPr>
        <w:t>resources to support its operations</w:t>
      </w:r>
      <w:r w:rsidR="002059DA" w:rsidRPr="00027186">
        <w:rPr>
          <w:rFonts w:ascii="Arial" w:hAnsi="Arial" w:cs="Arial"/>
          <w:sz w:val="24"/>
          <w:szCs w:val="24"/>
        </w:rPr>
        <w:t xml:space="preserve"> and manage risks</w:t>
      </w:r>
      <w:r w:rsidR="00A972C8" w:rsidRPr="00027186">
        <w:rPr>
          <w:rFonts w:ascii="Arial" w:hAnsi="Arial" w:cs="Arial"/>
          <w:sz w:val="24"/>
          <w:szCs w:val="24"/>
        </w:rPr>
        <w:t xml:space="preserve"> after this date.</w:t>
      </w:r>
    </w:p>
    <w:bookmarkEnd w:id="0"/>
    <w:p w14:paraId="621275EE" w14:textId="77777777" w:rsidR="00B81DFC" w:rsidRDefault="00AF109C" w:rsidP="00365603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t xml:space="preserve">7. </w:t>
      </w:r>
      <w:r w:rsidR="00365603">
        <w:rPr>
          <w:rFonts w:eastAsia="Arial Unicode MS" w:cs="Arial"/>
          <w:b/>
          <w:u w:color="000000"/>
          <w:lang w:eastAsia="en-GB"/>
        </w:rPr>
        <w:t xml:space="preserve">Annex </w:t>
      </w:r>
      <w:proofErr w:type="gramStart"/>
      <w:r w:rsidR="00365603">
        <w:rPr>
          <w:rFonts w:eastAsia="Arial Unicode MS" w:cs="Arial"/>
          <w:b/>
          <w:u w:color="000000"/>
          <w:lang w:eastAsia="en-GB"/>
        </w:rPr>
        <w:t>A</w:t>
      </w:r>
      <w:proofErr w:type="gramEnd"/>
      <w:r w:rsidR="00365603">
        <w:rPr>
          <w:rFonts w:eastAsia="Arial Unicode MS" w:cs="Arial"/>
          <w:b/>
          <w:u w:color="000000"/>
          <w:lang w:eastAsia="en-GB"/>
        </w:rPr>
        <w:t xml:space="preserve"> – Strategic Investment Reserve</w:t>
      </w:r>
    </w:p>
    <w:p w14:paraId="79431A6D" w14:textId="77777777" w:rsidR="00041E11" w:rsidRDefault="00041E11" w:rsidP="00041E11">
      <w:pPr>
        <w:spacing w:after="0"/>
        <w:ind w:right="66"/>
        <w:jc w:val="left"/>
        <w:rPr>
          <w:rFonts w:eastAsia="Arial Unicode MS" w:cs="Arial"/>
          <w:b/>
          <w:u w:color="000000"/>
          <w:lang w:eastAsia="en-GB"/>
        </w:rPr>
      </w:pPr>
    </w:p>
    <w:p w14:paraId="1E59C82D" w14:textId="77777777" w:rsidR="00041E11" w:rsidRDefault="00C86488" w:rsidP="00365603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  <w:sectPr w:rsidR="00041E11" w:rsidSect="00041E11">
          <w:pgSz w:w="16838" w:h="11906" w:orient="landscape"/>
          <w:pgMar w:top="624" w:right="1440" w:bottom="624" w:left="1440" w:header="709" w:footer="709" w:gutter="0"/>
          <w:cols w:space="708"/>
          <w:docGrid w:linePitch="360"/>
        </w:sectPr>
      </w:pPr>
      <w:r w:rsidRPr="00C86488">
        <w:rPr>
          <w:noProof/>
          <w:lang w:eastAsia="en-GB"/>
        </w:rPr>
        <w:drawing>
          <wp:inline distT="0" distB="0" distL="0" distR="0" wp14:anchorId="3FD9E65A" wp14:editId="2566D60A">
            <wp:extent cx="8863330" cy="45414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347F" w14:textId="77777777" w:rsidR="00365603" w:rsidRDefault="00365603">
      <w:pPr>
        <w:autoSpaceDE/>
        <w:autoSpaceDN/>
        <w:adjustRightInd/>
        <w:spacing w:after="0"/>
        <w:jc w:val="left"/>
        <w:rPr>
          <w:rFonts w:eastAsia="Arial Unicode MS" w:cs="Arial"/>
          <w:b/>
          <w:u w:color="000000"/>
          <w:lang w:eastAsia="en-GB"/>
        </w:rPr>
      </w:pPr>
    </w:p>
    <w:p w14:paraId="2D27D749" w14:textId="77777777" w:rsidR="008B7432" w:rsidRDefault="00AF109C" w:rsidP="00DF2159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t xml:space="preserve">8. </w:t>
      </w:r>
      <w:r w:rsidR="00365603">
        <w:rPr>
          <w:rFonts w:eastAsia="Arial Unicode MS" w:cs="Arial"/>
          <w:b/>
          <w:u w:color="000000"/>
          <w:lang w:eastAsia="en-GB"/>
        </w:rPr>
        <w:t>Annex B – Downsizing and Risk Management Reserve</w:t>
      </w:r>
      <w:r w:rsidR="00050E0F">
        <w:rPr>
          <w:rFonts w:eastAsia="Arial Unicode MS" w:cs="Arial"/>
          <w:b/>
          <w:u w:color="000000"/>
          <w:lang w:eastAsia="en-GB"/>
        </w:rPr>
        <w:t>s</w:t>
      </w:r>
    </w:p>
    <w:p w14:paraId="6C7ADBC4" w14:textId="77777777" w:rsidR="00CA55D4" w:rsidRDefault="00CA55D4" w:rsidP="00DF2159">
      <w:pPr>
        <w:spacing w:after="0"/>
        <w:ind w:right="66"/>
        <w:jc w:val="right"/>
        <w:rPr>
          <w:rFonts w:eastAsia="Arial Unicode MS" w:cs="Arial"/>
          <w:b/>
          <w:u w:color="000000"/>
          <w:lang w:eastAsia="en-GB"/>
        </w:rPr>
      </w:pPr>
    </w:p>
    <w:p w14:paraId="404DDCA6" w14:textId="77777777" w:rsidR="00DF2159" w:rsidRPr="00031CD4" w:rsidRDefault="00DF2159" w:rsidP="00DF2159">
      <w:pPr>
        <w:spacing w:after="0"/>
        <w:ind w:right="66"/>
        <w:jc w:val="left"/>
        <w:rPr>
          <w:rFonts w:eastAsia="Arial Unicode MS" w:cs="Arial"/>
          <w:b/>
          <w:u w:color="000000"/>
          <w:lang w:eastAsia="en-GB"/>
        </w:rPr>
      </w:pPr>
    </w:p>
    <w:p w14:paraId="06169C42" w14:textId="77777777" w:rsidR="00365603" w:rsidRDefault="0082501A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  <w:sectPr w:rsidR="00365603" w:rsidSect="008250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2501A">
        <w:rPr>
          <w:noProof/>
          <w:lang w:eastAsia="en-GB"/>
        </w:rPr>
        <w:drawing>
          <wp:inline distT="0" distB="0" distL="0" distR="0" wp14:anchorId="752DF66D" wp14:editId="7F53A7A8">
            <wp:extent cx="6644479" cy="84677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60" cy="84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3C30" w14:textId="77777777" w:rsidR="00365603" w:rsidRDefault="00AF109C" w:rsidP="00365603">
      <w:pPr>
        <w:spacing w:after="0"/>
        <w:ind w:right="933"/>
        <w:jc w:val="right"/>
        <w:rPr>
          <w:rFonts w:eastAsia="Arial Unicode MS" w:cs="Arial"/>
          <w:b/>
          <w:u w:color="000000"/>
          <w:lang w:eastAsia="en-GB"/>
        </w:rPr>
      </w:pPr>
      <w:r>
        <w:rPr>
          <w:rFonts w:eastAsia="Arial Unicode MS" w:cs="Arial"/>
          <w:b/>
          <w:u w:color="000000"/>
          <w:lang w:eastAsia="en-GB"/>
        </w:rPr>
        <w:t xml:space="preserve">9. </w:t>
      </w:r>
      <w:r w:rsidR="00365603">
        <w:rPr>
          <w:rFonts w:eastAsia="Arial Unicode MS" w:cs="Arial"/>
          <w:b/>
          <w:u w:color="000000"/>
          <w:lang w:eastAsia="en-GB"/>
        </w:rPr>
        <w:t>Annex C – Service Reserves</w:t>
      </w:r>
    </w:p>
    <w:p w14:paraId="2892B75C" w14:textId="3EF17F53" w:rsidR="00365603" w:rsidRDefault="00904B4A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  <w:r w:rsidRPr="00904B4A">
        <w:rPr>
          <w:noProof/>
          <w:lang w:eastAsia="en-GB"/>
        </w:rPr>
        <w:drawing>
          <wp:inline distT="0" distB="0" distL="0" distR="0" wp14:anchorId="1C802325" wp14:editId="0DAF673D">
            <wp:extent cx="6645910" cy="804015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078F" w14:textId="77777777" w:rsidR="00365603" w:rsidRDefault="00365603" w:rsidP="008308E2">
      <w:pPr>
        <w:spacing w:after="0"/>
        <w:ind w:right="-330"/>
        <w:rPr>
          <w:rFonts w:eastAsia="Arial Unicode MS" w:cs="Arial"/>
          <w:b/>
          <w:u w:color="000000"/>
          <w:lang w:eastAsia="en-GB"/>
        </w:rPr>
      </w:pPr>
    </w:p>
    <w:sectPr w:rsidR="00365603" w:rsidSect="00CA55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26724" w14:textId="77777777" w:rsidR="0060024B" w:rsidRDefault="0060024B" w:rsidP="00124FDC">
      <w:pPr>
        <w:spacing w:after="0"/>
      </w:pPr>
      <w:r>
        <w:separator/>
      </w:r>
    </w:p>
  </w:endnote>
  <w:endnote w:type="continuationSeparator" w:id="0">
    <w:p w14:paraId="5382F092" w14:textId="77777777" w:rsidR="0060024B" w:rsidRDefault="0060024B" w:rsidP="00124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2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0F8B" w14:textId="77777777" w:rsidR="004532BC" w:rsidRDefault="004532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8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826F5" w14:textId="77777777" w:rsidR="004532BC" w:rsidRDefault="00453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C5BE" w14:textId="77777777" w:rsidR="0060024B" w:rsidRDefault="0060024B" w:rsidP="00124FDC">
      <w:pPr>
        <w:spacing w:after="0"/>
      </w:pPr>
      <w:r>
        <w:separator/>
      </w:r>
    </w:p>
  </w:footnote>
  <w:footnote w:type="continuationSeparator" w:id="0">
    <w:p w14:paraId="77A3057A" w14:textId="77777777" w:rsidR="0060024B" w:rsidRDefault="0060024B" w:rsidP="00124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7F0C" w14:textId="77777777" w:rsidR="00291D41" w:rsidRDefault="00291D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C77939A" wp14:editId="4266754E">
          <wp:simplePos x="0" y="0"/>
          <wp:positionH relativeFrom="column">
            <wp:posOffset>-915035</wp:posOffset>
          </wp:positionH>
          <wp:positionV relativeFrom="paragraph">
            <wp:posOffset>-189230</wp:posOffset>
          </wp:positionV>
          <wp:extent cx="7548880" cy="6653530"/>
          <wp:effectExtent l="19050" t="0" r="0" b="0"/>
          <wp:wrapNone/>
          <wp:docPr id="18" name="Picture 18" descr="In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52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665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3D33" w14:textId="77777777" w:rsidR="00291D41" w:rsidRDefault="008308E2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AEFCA3" wp14:editId="271EE81C">
          <wp:simplePos x="0" y="0"/>
          <wp:positionH relativeFrom="page">
            <wp:posOffset>-12065</wp:posOffset>
          </wp:positionH>
          <wp:positionV relativeFrom="paragraph">
            <wp:posOffset>-450850</wp:posOffset>
          </wp:positionV>
          <wp:extent cx="7568565" cy="10720070"/>
          <wp:effectExtent l="0" t="0" r="0" b="5080"/>
          <wp:wrapNone/>
          <wp:docPr id="19" name="Picture 0" descr="Word Cover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 Cover_Rep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2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BB4D6A" wp14:editId="1795D425">
              <wp:simplePos x="0" y="0"/>
              <wp:positionH relativeFrom="column">
                <wp:posOffset>5384165</wp:posOffset>
              </wp:positionH>
              <wp:positionV relativeFrom="paragraph">
                <wp:posOffset>-173990</wp:posOffset>
              </wp:positionV>
              <wp:extent cx="1092835" cy="1404620"/>
              <wp:effectExtent l="0" t="0" r="1206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B340B" w14:textId="77777777" w:rsidR="008308E2" w:rsidRPr="000C5639" w:rsidRDefault="008308E2" w:rsidP="008308E2">
                          <w:pPr>
                            <w:rPr>
                              <w:b/>
                            </w:rPr>
                          </w:pPr>
                          <w:r w:rsidRPr="000C5639">
                            <w:rPr>
                              <w:b/>
                            </w:rPr>
                            <w:t xml:space="preserve">Appendix </w:t>
                          </w: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BB4D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3.95pt;margin-top:-13.7pt;width:8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">
              <v:textbox style="mso-fit-shape-to-text:t">
                <w:txbxContent>
                  <w:p w14:paraId="6F2B340B" w14:textId="77777777" w:rsidR="008308E2" w:rsidRPr="000C5639" w:rsidRDefault="008308E2" w:rsidP="008308E2">
                    <w:pPr>
                      <w:rPr>
                        <w:b/>
                      </w:rPr>
                    </w:pPr>
                    <w:r w:rsidRPr="000C5639">
                      <w:rPr>
                        <w:b/>
                      </w:rPr>
                      <w:t xml:space="preserve">Appendix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0834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256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704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EC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66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A46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E6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6E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092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ED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30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/>
        <w:position w:val="0"/>
      </w:rPr>
    </w:lvl>
  </w:abstractNum>
  <w:abstractNum w:abstractNumId="11" w15:restartNumberingAfterBreak="0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2" w15:restartNumberingAfterBreak="0">
    <w:nsid w:val="00000005"/>
    <w:multiLevelType w:val="multilevel"/>
    <w:tmpl w:val="894EE877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774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3" w15:restartNumberingAfterBreak="0">
    <w:nsid w:val="00000006"/>
    <w:multiLevelType w:val="multilevel"/>
    <w:tmpl w:val="894EE878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5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4" w15:restartNumberingAfterBreak="0">
    <w:nsid w:val="00000008"/>
    <w:multiLevelType w:val="multilevel"/>
    <w:tmpl w:val="894EE87A"/>
    <w:lvl w:ilvl="0">
      <w:start w:val="1"/>
      <w:numFmt w:val="bullet"/>
      <w:pStyle w:val="List1"/>
      <w:lvlText w:val="•"/>
      <w:lvlJc w:val="left"/>
      <w:pPr>
        <w:tabs>
          <w:tab w:val="num" w:pos="153"/>
        </w:tabs>
        <w:ind w:left="153" w:firstLine="567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position w:val="0"/>
      </w:rPr>
    </w:lvl>
  </w:abstractNum>
  <w:abstractNum w:abstractNumId="15" w15:restartNumberingAfterBreak="0">
    <w:nsid w:val="0000001E"/>
    <w:multiLevelType w:val="multilevel"/>
    <w:tmpl w:val="894EE890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6" w15:restartNumberingAfterBreak="0">
    <w:nsid w:val="00000020"/>
    <w:multiLevelType w:val="multilevel"/>
    <w:tmpl w:val="894EE892"/>
    <w:lvl w:ilvl="0">
      <w:start w:val="1"/>
      <w:numFmt w:val="bullet"/>
      <w:pStyle w:val="ImportWordListStyleDefinition2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7" w15:restartNumberingAfterBreak="0">
    <w:nsid w:val="00000022"/>
    <w:multiLevelType w:val="multilevel"/>
    <w:tmpl w:val="894EE894"/>
    <w:lvl w:ilvl="0">
      <w:start w:val="1"/>
      <w:numFmt w:val="bullet"/>
      <w:pStyle w:val="List21"/>
      <w:lvlText w:val="•"/>
      <w:lvlJc w:val="left"/>
      <w:pPr>
        <w:tabs>
          <w:tab w:val="num" w:pos="426"/>
        </w:tabs>
        <w:ind w:left="426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8" w15:restartNumberingAfterBreak="0">
    <w:nsid w:val="00000023"/>
    <w:multiLevelType w:val="multilevel"/>
    <w:tmpl w:val="894EE895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20" w15:restartNumberingAfterBreak="0">
    <w:nsid w:val="06FD41C2"/>
    <w:multiLevelType w:val="hybridMultilevel"/>
    <w:tmpl w:val="C072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6A0AD0"/>
    <w:multiLevelType w:val="hybridMultilevel"/>
    <w:tmpl w:val="613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45781"/>
    <w:multiLevelType w:val="hybridMultilevel"/>
    <w:tmpl w:val="7D10723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A720947"/>
    <w:multiLevelType w:val="hybridMultilevel"/>
    <w:tmpl w:val="1EF0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72947"/>
    <w:multiLevelType w:val="hybridMultilevel"/>
    <w:tmpl w:val="782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38D455ED"/>
    <w:multiLevelType w:val="hybridMultilevel"/>
    <w:tmpl w:val="64EE7634"/>
    <w:lvl w:ilvl="0" w:tplc="B2CE2D04"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57106"/>
    <w:multiLevelType w:val="hybridMultilevel"/>
    <w:tmpl w:val="E0FA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3D0E88"/>
    <w:multiLevelType w:val="hybridMultilevel"/>
    <w:tmpl w:val="6B088218"/>
    <w:lvl w:ilvl="0" w:tplc="F230B1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F550E"/>
    <w:multiLevelType w:val="hybridMultilevel"/>
    <w:tmpl w:val="0D42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59CD"/>
    <w:multiLevelType w:val="hybridMultilevel"/>
    <w:tmpl w:val="6FF22088"/>
    <w:lvl w:ilvl="0" w:tplc="7A102F2C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87F59"/>
    <w:multiLevelType w:val="hybridMultilevel"/>
    <w:tmpl w:val="A43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1165D"/>
    <w:multiLevelType w:val="hybridMultilevel"/>
    <w:tmpl w:val="537E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5E5"/>
    <w:multiLevelType w:val="hybridMultilevel"/>
    <w:tmpl w:val="C01C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990"/>
    <w:multiLevelType w:val="hybridMultilevel"/>
    <w:tmpl w:val="53D8E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AB07B0"/>
    <w:multiLevelType w:val="hybridMultilevel"/>
    <w:tmpl w:val="F262516C"/>
    <w:lvl w:ilvl="0" w:tplc="DA2459F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96EB2"/>
    <w:multiLevelType w:val="hybridMultilevel"/>
    <w:tmpl w:val="C06C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6"/>
  </w:num>
  <w:num w:numId="4">
    <w:abstractNumId w:val="31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20"/>
  </w:num>
  <w:num w:numId="27">
    <w:abstractNumId w:val="30"/>
  </w:num>
  <w:num w:numId="28">
    <w:abstractNumId w:val="32"/>
  </w:num>
  <w:num w:numId="29">
    <w:abstractNumId w:val="24"/>
  </w:num>
  <w:num w:numId="30">
    <w:abstractNumId w:val="34"/>
  </w:num>
  <w:num w:numId="31">
    <w:abstractNumId w:val="37"/>
  </w:num>
  <w:num w:numId="32">
    <w:abstractNumId w:val="29"/>
  </w:num>
  <w:num w:numId="33">
    <w:abstractNumId w:val="26"/>
  </w:num>
  <w:num w:numId="34">
    <w:abstractNumId w:val="27"/>
  </w:num>
  <w:num w:numId="35">
    <w:abstractNumId w:val="23"/>
  </w:num>
  <w:num w:numId="36">
    <w:abstractNumId w:val="35"/>
  </w:num>
  <w:num w:numId="37">
    <w:abstractNumId w:val="22"/>
  </w:num>
  <w:num w:numId="38">
    <w:abstractNumId w:val="33"/>
  </w:num>
  <w:num w:numId="3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d31145,#fffddf,#ffec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4"/>
    <w:rsid w:val="0000008E"/>
    <w:rsid w:val="00000CB1"/>
    <w:rsid w:val="000016BA"/>
    <w:rsid w:val="00002B14"/>
    <w:rsid w:val="0000388E"/>
    <w:rsid w:val="00004C5F"/>
    <w:rsid w:val="00005501"/>
    <w:rsid w:val="00005D60"/>
    <w:rsid w:val="000120E8"/>
    <w:rsid w:val="0001341B"/>
    <w:rsid w:val="00015827"/>
    <w:rsid w:val="0002009B"/>
    <w:rsid w:val="000205B8"/>
    <w:rsid w:val="000211C6"/>
    <w:rsid w:val="0002209D"/>
    <w:rsid w:val="000237CB"/>
    <w:rsid w:val="00025819"/>
    <w:rsid w:val="00027186"/>
    <w:rsid w:val="00031CD4"/>
    <w:rsid w:val="00041E11"/>
    <w:rsid w:val="000448A4"/>
    <w:rsid w:val="00044FF2"/>
    <w:rsid w:val="0004609F"/>
    <w:rsid w:val="00050E0F"/>
    <w:rsid w:val="00054C03"/>
    <w:rsid w:val="00057B51"/>
    <w:rsid w:val="000701AB"/>
    <w:rsid w:val="0007606B"/>
    <w:rsid w:val="00081E12"/>
    <w:rsid w:val="00083512"/>
    <w:rsid w:val="0008360D"/>
    <w:rsid w:val="00084D4D"/>
    <w:rsid w:val="00085091"/>
    <w:rsid w:val="00092756"/>
    <w:rsid w:val="0009438D"/>
    <w:rsid w:val="000A09DB"/>
    <w:rsid w:val="000A1E1B"/>
    <w:rsid w:val="000A3809"/>
    <w:rsid w:val="000A3BD2"/>
    <w:rsid w:val="000A778B"/>
    <w:rsid w:val="000B002C"/>
    <w:rsid w:val="000B11F8"/>
    <w:rsid w:val="000B281E"/>
    <w:rsid w:val="000B29E0"/>
    <w:rsid w:val="000B6F0F"/>
    <w:rsid w:val="000C35EE"/>
    <w:rsid w:val="000C390F"/>
    <w:rsid w:val="000C58C2"/>
    <w:rsid w:val="000D15C8"/>
    <w:rsid w:val="000D1F39"/>
    <w:rsid w:val="000D2D80"/>
    <w:rsid w:val="000D3601"/>
    <w:rsid w:val="000D4BF2"/>
    <w:rsid w:val="000E00B0"/>
    <w:rsid w:val="000E02B4"/>
    <w:rsid w:val="000E1A3D"/>
    <w:rsid w:val="000E475F"/>
    <w:rsid w:val="000E4831"/>
    <w:rsid w:val="000E6710"/>
    <w:rsid w:val="000F12AA"/>
    <w:rsid w:val="000F2609"/>
    <w:rsid w:val="000F2763"/>
    <w:rsid w:val="000F2931"/>
    <w:rsid w:val="000F50B3"/>
    <w:rsid w:val="000F5D50"/>
    <w:rsid w:val="000F748D"/>
    <w:rsid w:val="001001D6"/>
    <w:rsid w:val="001033DA"/>
    <w:rsid w:val="00112B05"/>
    <w:rsid w:val="00112D46"/>
    <w:rsid w:val="00122701"/>
    <w:rsid w:val="001230E2"/>
    <w:rsid w:val="00124613"/>
    <w:rsid w:val="001248E1"/>
    <w:rsid w:val="00124FDC"/>
    <w:rsid w:val="001265CF"/>
    <w:rsid w:val="0013075A"/>
    <w:rsid w:val="001314AB"/>
    <w:rsid w:val="001318F2"/>
    <w:rsid w:val="001356BF"/>
    <w:rsid w:val="001373D0"/>
    <w:rsid w:val="00142E26"/>
    <w:rsid w:val="00145C7C"/>
    <w:rsid w:val="00147C02"/>
    <w:rsid w:val="00147CFE"/>
    <w:rsid w:val="0015063B"/>
    <w:rsid w:val="00151735"/>
    <w:rsid w:val="00153BDE"/>
    <w:rsid w:val="00153DEB"/>
    <w:rsid w:val="001540FB"/>
    <w:rsid w:val="00154FFB"/>
    <w:rsid w:val="00155727"/>
    <w:rsid w:val="001562D2"/>
    <w:rsid w:val="00157938"/>
    <w:rsid w:val="0016157E"/>
    <w:rsid w:val="00164374"/>
    <w:rsid w:val="00165163"/>
    <w:rsid w:val="0016768E"/>
    <w:rsid w:val="001701B4"/>
    <w:rsid w:val="0017059D"/>
    <w:rsid w:val="00173663"/>
    <w:rsid w:val="00174280"/>
    <w:rsid w:val="00175707"/>
    <w:rsid w:val="001760F2"/>
    <w:rsid w:val="0017632B"/>
    <w:rsid w:val="00176F2E"/>
    <w:rsid w:val="0018066A"/>
    <w:rsid w:val="00185694"/>
    <w:rsid w:val="001859CA"/>
    <w:rsid w:val="001873E0"/>
    <w:rsid w:val="001A134C"/>
    <w:rsid w:val="001A4C2E"/>
    <w:rsid w:val="001A5E75"/>
    <w:rsid w:val="001B44DF"/>
    <w:rsid w:val="001B540F"/>
    <w:rsid w:val="001B5633"/>
    <w:rsid w:val="001C1BD1"/>
    <w:rsid w:val="001C1C6F"/>
    <w:rsid w:val="001D163E"/>
    <w:rsid w:val="001D24BD"/>
    <w:rsid w:val="001D39F6"/>
    <w:rsid w:val="001D6C4E"/>
    <w:rsid w:val="001E175C"/>
    <w:rsid w:val="001E22B3"/>
    <w:rsid w:val="001E3125"/>
    <w:rsid w:val="001E417F"/>
    <w:rsid w:val="001E6005"/>
    <w:rsid w:val="001E7C51"/>
    <w:rsid w:val="001E7EF0"/>
    <w:rsid w:val="001F0530"/>
    <w:rsid w:val="001F0AA6"/>
    <w:rsid w:val="002012C2"/>
    <w:rsid w:val="002022B9"/>
    <w:rsid w:val="0020271F"/>
    <w:rsid w:val="002059DA"/>
    <w:rsid w:val="00210D52"/>
    <w:rsid w:val="00211C9D"/>
    <w:rsid w:val="00212096"/>
    <w:rsid w:val="0021392C"/>
    <w:rsid w:val="00214801"/>
    <w:rsid w:val="00222D1E"/>
    <w:rsid w:val="0022383E"/>
    <w:rsid w:val="00224312"/>
    <w:rsid w:val="0022443C"/>
    <w:rsid w:val="002267A3"/>
    <w:rsid w:val="00227E9E"/>
    <w:rsid w:val="002303B9"/>
    <w:rsid w:val="002305D4"/>
    <w:rsid w:val="00231E00"/>
    <w:rsid w:val="0023427F"/>
    <w:rsid w:val="002345FB"/>
    <w:rsid w:val="0024246B"/>
    <w:rsid w:val="00245B18"/>
    <w:rsid w:val="00247D4E"/>
    <w:rsid w:val="002533B1"/>
    <w:rsid w:val="00257164"/>
    <w:rsid w:val="002578B8"/>
    <w:rsid w:val="00261A20"/>
    <w:rsid w:val="00263DFF"/>
    <w:rsid w:val="0026678D"/>
    <w:rsid w:val="00267A41"/>
    <w:rsid w:val="00267E3B"/>
    <w:rsid w:val="00267F8F"/>
    <w:rsid w:val="00275B89"/>
    <w:rsid w:val="00275BC5"/>
    <w:rsid w:val="00281DD8"/>
    <w:rsid w:val="002822BA"/>
    <w:rsid w:val="00282A88"/>
    <w:rsid w:val="00283C71"/>
    <w:rsid w:val="00290320"/>
    <w:rsid w:val="00290F56"/>
    <w:rsid w:val="002918E8"/>
    <w:rsid w:val="00291D41"/>
    <w:rsid w:val="00297702"/>
    <w:rsid w:val="002A0203"/>
    <w:rsid w:val="002A18D1"/>
    <w:rsid w:val="002A1E91"/>
    <w:rsid w:val="002A28D9"/>
    <w:rsid w:val="002A2C0D"/>
    <w:rsid w:val="002A3292"/>
    <w:rsid w:val="002A351D"/>
    <w:rsid w:val="002A6DE2"/>
    <w:rsid w:val="002A73B9"/>
    <w:rsid w:val="002B0172"/>
    <w:rsid w:val="002B35AA"/>
    <w:rsid w:val="002B6FC4"/>
    <w:rsid w:val="002B6FE9"/>
    <w:rsid w:val="002C2E75"/>
    <w:rsid w:val="002C4196"/>
    <w:rsid w:val="002D042D"/>
    <w:rsid w:val="002D05B4"/>
    <w:rsid w:val="002D09C5"/>
    <w:rsid w:val="002D4C3D"/>
    <w:rsid w:val="002D5781"/>
    <w:rsid w:val="002D637D"/>
    <w:rsid w:val="002D71FE"/>
    <w:rsid w:val="002D7921"/>
    <w:rsid w:val="002E0CED"/>
    <w:rsid w:val="002E5340"/>
    <w:rsid w:val="002E5C88"/>
    <w:rsid w:val="002E65B7"/>
    <w:rsid w:val="002F0530"/>
    <w:rsid w:val="002F3210"/>
    <w:rsid w:val="002F364A"/>
    <w:rsid w:val="002F4AF1"/>
    <w:rsid w:val="002F5836"/>
    <w:rsid w:val="002F60DB"/>
    <w:rsid w:val="003006E7"/>
    <w:rsid w:val="00301F95"/>
    <w:rsid w:val="003059E8"/>
    <w:rsid w:val="00307077"/>
    <w:rsid w:val="003071F8"/>
    <w:rsid w:val="00313657"/>
    <w:rsid w:val="00321030"/>
    <w:rsid w:val="003218D4"/>
    <w:rsid w:val="003219F2"/>
    <w:rsid w:val="0032276D"/>
    <w:rsid w:val="0032298A"/>
    <w:rsid w:val="00323880"/>
    <w:rsid w:val="00324827"/>
    <w:rsid w:val="00325446"/>
    <w:rsid w:val="00325737"/>
    <w:rsid w:val="00325CF6"/>
    <w:rsid w:val="00326867"/>
    <w:rsid w:val="00327570"/>
    <w:rsid w:val="003321F2"/>
    <w:rsid w:val="003332FC"/>
    <w:rsid w:val="003348C9"/>
    <w:rsid w:val="003350AF"/>
    <w:rsid w:val="00340774"/>
    <w:rsid w:val="003416CE"/>
    <w:rsid w:val="003461DA"/>
    <w:rsid w:val="00350F56"/>
    <w:rsid w:val="00352C6F"/>
    <w:rsid w:val="00356EED"/>
    <w:rsid w:val="003626CB"/>
    <w:rsid w:val="00363A3A"/>
    <w:rsid w:val="00364241"/>
    <w:rsid w:val="00364D69"/>
    <w:rsid w:val="00365603"/>
    <w:rsid w:val="00365825"/>
    <w:rsid w:val="0036630C"/>
    <w:rsid w:val="00366317"/>
    <w:rsid w:val="0037393E"/>
    <w:rsid w:val="00386B6C"/>
    <w:rsid w:val="00386E22"/>
    <w:rsid w:val="003875B6"/>
    <w:rsid w:val="0039080E"/>
    <w:rsid w:val="003908B6"/>
    <w:rsid w:val="0039333E"/>
    <w:rsid w:val="00394975"/>
    <w:rsid w:val="00394BBA"/>
    <w:rsid w:val="0039786E"/>
    <w:rsid w:val="003979D0"/>
    <w:rsid w:val="003A1659"/>
    <w:rsid w:val="003A3FCE"/>
    <w:rsid w:val="003A55F8"/>
    <w:rsid w:val="003A58CB"/>
    <w:rsid w:val="003A7DCB"/>
    <w:rsid w:val="003B0C73"/>
    <w:rsid w:val="003B38A7"/>
    <w:rsid w:val="003B6681"/>
    <w:rsid w:val="003B6C18"/>
    <w:rsid w:val="003B77BD"/>
    <w:rsid w:val="003C0C55"/>
    <w:rsid w:val="003C5D0D"/>
    <w:rsid w:val="003C78FD"/>
    <w:rsid w:val="003C795B"/>
    <w:rsid w:val="003D1166"/>
    <w:rsid w:val="003D2899"/>
    <w:rsid w:val="003D4B91"/>
    <w:rsid w:val="003D4FBB"/>
    <w:rsid w:val="003D7663"/>
    <w:rsid w:val="003E1CEE"/>
    <w:rsid w:val="003E3D87"/>
    <w:rsid w:val="003E4C50"/>
    <w:rsid w:val="003E4EB1"/>
    <w:rsid w:val="003E743D"/>
    <w:rsid w:val="003F0E62"/>
    <w:rsid w:val="003F21BD"/>
    <w:rsid w:val="003F35F7"/>
    <w:rsid w:val="003F55B6"/>
    <w:rsid w:val="00405273"/>
    <w:rsid w:val="00405959"/>
    <w:rsid w:val="00410414"/>
    <w:rsid w:val="004131D7"/>
    <w:rsid w:val="00421596"/>
    <w:rsid w:val="00424E57"/>
    <w:rsid w:val="0042503D"/>
    <w:rsid w:val="00426D32"/>
    <w:rsid w:val="00430C9E"/>
    <w:rsid w:val="0043297A"/>
    <w:rsid w:val="00435847"/>
    <w:rsid w:val="00435FCF"/>
    <w:rsid w:val="00436341"/>
    <w:rsid w:val="004421CE"/>
    <w:rsid w:val="00442270"/>
    <w:rsid w:val="00442FAC"/>
    <w:rsid w:val="004439D4"/>
    <w:rsid w:val="00443CD3"/>
    <w:rsid w:val="0044464F"/>
    <w:rsid w:val="00447F80"/>
    <w:rsid w:val="00451501"/>
    <w:rsid w:val="00451CE6"/>
    <w:rsid w:val="004532BC"/>
    <w:rsid w:val="004533FD"/>
    <w:rsid w:val="0045628C"/>
    <w:rsid w:val="00460B9A"/>
    <w:rsid w:val="004649FE"/>
    <w:rsid w:val="004671DA"/>
    <w:rsid w:val="004672AC"/>
    <w:rsid w:val="0046768B"/>
    <w:rsid w:val="004707FF"/>
    <w:rsid w:val="004715BD"/>
    <w:rsid w:val="00472A0F"/>
    <w:rsid w:val="00485432"/>
    <w:rsid w:val="004861DC"/>
    <w:rsid w:val="00487350"/>
    <w:rsid w:val="00490507"/>
    <w:rsid w:val="00495B01"/>
    <w:rsid w:val="004A07B6"/>
    <w:rsid w:val="004A4F18"/>
    <w:rsid w:val="004A5AE0"/>
    <w:rsid w:val="004A5CF8"/>
    <w:rsid w:val="004A6CE9"/>
    <w:rsid w:val="004B573E"/>
    <w:rsid w:val="004C22BB"/>
    <w:rsid w:val="004C2626"/>
    <w:rsid w:val="004C6D02"/>
    <w:rsid w:val="004D07A3"/>
    <w:rsid w:val="004D0F2F"/>
    <w:rsid w:val="004E0591"/>
    <w:rsid w:val="004E2AC4"/>
    <w:rsid w:val="004E3926"/>
    <w:rsid w:val="004F243C"/>
    <w:rsid w:val="004F4F4A"/>
    <w:rsid w:val="004F589C"/>
    <w:rsid w:val="004F7221"/>
    <w:rsid w:val="004F793C"/>
    <w:rsid w:val="005001EC"/>
    <w:rsid w:val="005030EA"/>
    <w:rsid w:val="005059F8"/>
    <w:rsid w:val="00506E45"/>
    <w:rsid w:val="005107F5"/>
    <w:rsid w:val="00510A25"/>
    <w:rsid w:val="00510FA4"/>
    <w:rsid w:val="00511019"/>
    <w:rsid w:val="00511F5D"/>
    <w:rsid w:val="00516099"/>
    <w:rsid w:val="0051670A"/>
    <w:rsid w:val="00516FCA"/>
    <w:rsid w:val="00520EBD"/>
    <w:rsid w:val="00522CA2"/>
    <w:rsid w:val="00527DEB"/>
    <w:rsid w:val="00531F2A"/>
    <w:rsid w:val="005331E8"/>
    <w:rsid w:val="00533982"/>
    <w:rsid w:val="00534553"/>
    <w:rsid w:val="00535451"/>
    <w:rsid w:val="005360E5"/>
    <w:rsid w:val="0054261B"/>
    <w:rsid w:val="0054272A"/>
    <w:rsid w:val="0054686B"/>
    <w:rsid w:val="00552F96"/>
    <w:rsid w:val="00553EFD"/>
    <w:rsid w:val="00554019"/>
    <w:rsid w:val="005602EE"/>
    <w:rsid w:val="00561177"/>
    <w:rsid w:val="00562427"/>
    <w:rsid w:val="00565DF7"/>
    <w:rsid w:val="00566CCD"/>
    <w:rsid w:val="005672F2"/>
    <w:rsid w:val="005703D9"/>
    <w:rsid w:val="00570C8B"/>
    <w:rsid w:val="005734D4"/>
    <w:rsid w:val="005802F2"/>
    <w:rsid w:val="00580887"/>
    <w:rsid w:val="005837F4"/>
    <w:rsid w:val="00591F1A"/>
    <w:rsid w:val="00592D07"/>
    <w:rsid w:val="00593CCA"/>
    <w:rsid w:val="00594064"/>
    <w:rsid w:val="00594228"/>
    <w:rsid w:val="00596920"/>
    <w:rsid w:val="005A3396"/>
    <w:rsid w:val="005A3514"/>
    <w:rsid w:val="005A3A16"/>
    <w:rsid w:val="005A4493"/>
    <w:rsid w:val="005A536F"/>
    <w:rsid w:val="005A5FDD"/>
    <w:rsid w:val="005A6BE8"/>
    <w:rsid w:val="005B0E0C"/>
    <w:rsid w:val="005B458D"/>
    <w:rsid w:val="005B483D"/>
    <w:rsid w:val="005B7686"/>
    <w:rsid w:val="005C14AC"/>
    <w:rsid w:val="005C2638"/>
    <w:rsid w:val="005C38AB"/>
    <w:rsid w:val="005C5693"/>
    <w:rsid w:val="005C7EF9"/>
    <w:rsid w:val="005D0F87"/>
    <w:rsid w:val="005D6709"/>
    <w:rsid w:val="005D7DDA"/>
    <w:rsid w:val="005E3610"/>
    <w:rsid w:val="005E5A5C"/>
    <w:rsid w:val="005E6D70"/>
    <w:rsid w:val="005E7A5D"/>
    <w:rsid w:val="005F0A9A"/>
    <w:rsid w:val="005F2A49"/>
    <w:rsid w:val="005F5818"/>
    <w:rsid w:val="0060024B"/>
    <w:rsid w:val="006020A0"/>
    <w:rsid w:val="00602D56"/>
    <w:rsid w:val="00606AFF"/>
    <w:rsid w:val="006109CF"/>
    <w:rsid w:val="0061106D"/>
    <w:rsid w:val="00611480"/>
    <w:rsid w:val="0061204C"/>
    <w:rsid w:val="00614E23"/>
    <w:rsid w:val="006167C1"/>
    <w:rsid w:val="006208E7"/>
    <w:rsid w:val="0062134E"/>
    <w:rsid w:val="006222BB"/>
    <w:rsid w:val="006226CB"/>
    <w:rsid w:val="00623FA1"/>
    <w:rsid w:val="00631B3A"/>
    <w:rsid w:val="0063358D"/>
    <w:rsid w:val="00634E3F"/>
    <w:rsid w:val="006377F0"/>
    <w:rsid w:val="00637DDF"/>
    <w:rsid w:val="00641054"/>
    <w:rsid w:val="00642CD8"/>
    <w:rsid w:val="00650336"/>
    <w:rsid w:val="00654564"/>
    <w:rsid w:val="006549D3"/>
    <w:rsid w:val="00656055"/>
    <w:rsid w:val="00656D23"/>
    <w:rsid w:val="006573DF"/>
    <w:rsid w:val="00657E34"/>
    <w:rsid w:val="00663E2A"/>
    <w:rsid w:val="00667914"/>
    <w:rsid w:val="00671323"/>
    <w:rsid w:val="00675165"/>
    <w:rsid w:val="00675B77"/>
    <w:rsid w:val="0067629B"/>
    <w:rsid w:val="006803D3"/>
    <w:rsid w:val="00684B24"/>
    <w:rsid w:val="00697E05"/>
    <w:rsid w:val="006A3CC4"/>
    <w:rsid w:val="006A4027"/>
    <w:rsid w:val="006A567C"/>
    <w:rsid w:val="006A6193"/>
    <w:rsid w:val="006A7810"/>
    <w:rsid w:val="006B1F53"/>
    <w:rsid w:val="006B33CF"/>
    <w:rsid w:val="006B65FC"/>
    <w:rsid w:val="006C210D"/>
    <w:rsid w:val="006C4BA0"/>
    <w:rsid w:val="006C4EAD"/>
    <w:rsid w:val="006C4F7E"/>
    <w:rsid w:val="006C7B81"/>
    <w:rsid w:val="006C7F27"/>
    <w:rsid w:val="006D1BF2"/>
    <w:rsid w:val="006D5E1C"/>
    <w:rsid w:val="006D7BB1"/>
    <w:rsid w:val="006E1B23"/>
    <w:rsid w:val="006E286D"/>
    <w:rsid w:val="006E349B"/>
    <w:rsid w:val="006F4002"/>
    <w:rsid w:val="007014A1"/>
    <w:rsid w:val="00710F67"/>
    <w:rsid w:val="00711810"/>
    <w:rsid w:val="00716937"/>
    <w:rsid w:val="00717052"/>
    <w:rsid w:val="007234A8"/>
    <w:rsid w:val="00724DE9"/>
    <w:rsid w:val="00726AF7"/>
    <w:rsid w:val="00730B2B"/>
    <w:rsid w:val="00733980"/>
    <w:rsid w:val="00736579"/>
    <w:rsid w:val="007367F4"/>
    <w:rsid w:val="00737491"/>
    <w:rsid w:val="007423F7"/>
    <w:rsid w:val="00744ED3"/>
    <w:rsid w:val="00745B0F"/>
    <w:rsid w:val="007468E3"/>
    <w:rsid w:val="00753FFD"/>
    <w:rsid w:val="00760CD7"/>
    <w:rsid w:val="0076182A"/>
    <w:rsid w:val="00761D40"/>
    <w:rsid w:val="0076207A"/>
    <w:rsid w:val="00762680"/>
    <w:rsid w:val="00763CFF"/>
    <w:rsid w:val="00763FC1"/>
    <w:rsid w:val="00770A24"/>
    <w:rsid w:val="00770CBB"/>
    <w:rsid w:val="007712F3"/>
    <w:rsid w:val="00772764"/>
    <w:rsid w:val="0077327C"/>
    <w:rsid w:val="0077399D"/>
    <w:rsid w:val="00782BD5"/>
    <w:rsid w:val="00782E0A"/>
    <w:rsid w:val="00784105"/>
    <w:rsid w:val="00784BFA"/>
    <w:rsid w:val="00785E83"/>
    <w:rsid w:val="007871E4"/>
    <w:rsid w:val="007926B0"/>
    <w:rsid w:val="00795732"/>
    <w:rsid w:val="00797100"/>
    <w:rsid w:val="007976DA"/>
    <w:rsid w:val="007A3EA8"/>
    <w:rsid w:val="007A5DF9"/>
    <w:rsid w:val="007A7D0A"/>
    <w:rsid w:val="007A7DEC"/>
    <w:rsid w:val="007B5C1B"/>
    <w:rsid w:val="007B6604"/>
    <w:rsid w:val="007B6838"/>
    <w:rsid w:val="007C126F"/>
    <w:rsid w:val="007C2D50"/>
    <w:rsid w:val="007C580E"/>
    <w:rsid w:val="007C6B28"/>
    <w:rsid w:val="007D70C1"/>
    <w:rsid w:val="007E1CBA"/>
    <w:rsid w:val="007E1FED"/>
    <w:rsid w:val="007E221D"/>
    <w:rsid w:val="007E5502"/>
    <w:rsid w:val="007E6352"/>
    <w:rsid w:val="007E778D"/>
    <w:rsid w:val="007F0E6B"/>
    <w:rsid w:val="007F158D"/>
    <w:rsid w:val="007F2176"/>
    <w:rsid w:val="007F4E7D"/>
    <w:rsid w:val="007F58E7"/>
    <w:rsid w:val="007F6AD0"/>
    <w:rsid w:val="00800270"/>
    <w:rsid w:val="00806CFD"/>
    <w:rsid w:val="00811B44"/>
    <w:rsid w:val="00813CEC"/>
    <w:rsid w:val="00814640"/>
    <w:rsid w:val="00815238"/>
    <w:rsid w:val="00816112"/>
    <w:rsid w:val="00817D25"/>
    <w:rsid w:val="008201E5"/>
    <w:rsid w:val="00820838"/>
    <w:rsid w:val="0082179E"/>
    <w:rsid w:val="00821C3E"/>
    <w:rsid w:val="0082501A"/>
    <w:rsid w:val="00826EA6"/>
    <w:rsid w:val="0083075F"/>
    <w:rsid w:val="008308E2"/>
    <w:rsid w:val="008334E2"/>
    <w:rsid w:val="00835168"/>
    <w:rsid w:val="00835636"/>
    <w:rsid w:val="00841048"/>
    <w:rsid w:val="00841E4A"/>
    <w:rsid w:val="00843693"/>
    <w:rsid w:val="00843FA3"/>
    <w:rsid w:val="00846066"/>
    <w:rsid w:val="00846AEA"/>
    <w:rsid w:val="00846DAF"/>
    <w:rsid w:val="00847591"/>
    <w:rsid w:val="00850008"/>
    <w:rsid w:val="00852C0B"/>
    <w:rsid w:val="00853B6D"/>
    <w:rsid w:val="008544A3"/>
    <w:rsid w:val="008566C1"/>
    <w:rsid w:val="00857F53"/>
    <w:rsid w:val="0086328E"/>
    <w:rsid w:val="008660EF"/>
    <w:rsid w:val="00867701"/>
    <w:rsid w:val="008707EB"/>
    <w:rsid w:val="0087120B"/>
    <w:rsid w:val="00874FCD"/>
    <w:rsid w:val="00876B26"/>
    <w:rsid w:val="00876C85"/>
    <w:rsid w:val="0088444B"/>
    <w:rsid w:val="008865DD"/>
    <w:rsid w:val="00886A5B"/>
    <w:rsid w:val="00887C6E"/>
    <w:rsid w:val="0089452B"/>
    <w:rsid w:val="008A1889"/>
    <w:rsid w:val="008A18BE"/>
    <w:rsid w:val="008A301D"/>
    <w:rsid w:val="008B105C"/>
    <w:rsid w:val="008B1FD7"/>
    <w:rsid w:val="008B3812"/>
    <w:rsid w:val="008B4F66"/>
    <w:rsid w:val="008B63B8"/>
    <w:rsid w:val="008B7432"/>
    <w:rsid w:val="008C0177"/>
    <w:rsid w:val="008C12D0"/>
    <w:rsid w:val="008C21E6"/>
    <w:rsid w:val="008C31A8"/>
    <w:rsid w:val="008C335A"/>
    <w:rsid w:val="008C3748"/>
    <w:rsid w:val="008C4E81"/>
    <w:rsid w:val="008C65BD"/>
    <w:rsid w:val="008D1271"/>
    <w:rsid w:val="008D18C2"/>
    <w:rsid w:val="008D4B18"/>
    <w:rsid w:val="008D4FF6"/>
    <w:rsid w:val="008D5152"/>
    <w:rsid w:val="008D68F5"/>
    <w:rsid w:val="008D6E36"/>
    <w:rsid w:val="008D6F3B"/>
    <w:rsid w:val="008E11C5"/>
    <w:rsid w:val="008E4130"/>
    <w:rsid w:val="008E50BB"/>
    <w:rsid w:val="008E5502"/>
    <w:rsid w:val="008E697B"/>
    <w:rsid w:val="008F279B"/>
    <w:rsid w:val="008F44ED"/>
    <w:rsid w:val="008F4FB2"/>
    <w:rsid w:val="008F6EFB"/>
    <w:rsid w:val="00900343"/>
    <w:rsid w:val="00900BA3"/>
    <w:rsid w:val="009028CB"/>
    <w:rsid w:val="00902AC0"/>
    <w:rsid w:val="00904B4A"/>
    <w:rsid w:val="009067BE"/>
    <w:rsid w:val="00914EC4"/>
    <w:rsid w:val="00917036"/>
    <w:rsid w:val="00917301"/>
    <w:rsid w:val="009177CF"/>
    <w:rsid w:val="00920F5E"/>
    <w:rsid w:val="009232BC"/>
    <w:rsid w:val="0092413A"/>
    <w:rsid w:val="009242B9"/>
    <w:rsid w:val="00926AF1"/>
    <w:rsid w:val="00932A59"/>
    <w:rsid w:val="00932C3B"/>
    <w:rsid w:val="00932C90"/>
    <w:rsid w:val="009337DD"/>
    <w:rsid w:val="009343D3"/>
    <w:rsid w:val="009370DF"/>
    <w:rsid w:val="00937EE0"/>
    <w:rsid w:val="00942AF1"/>
    <w:rsid w:val="00942BC2"/>
    <w:rsid w:val="00944150"/>
    <w:rsid w:val="00944389"/>
    <w:rsid w:val="009459FC"/>
    <w:rsid w:val="00945A94"/>
    <w:rsid w:val="00947954"/>
    <w:rsid w:val="00951032"/>
    <w:rsid w:val="00953E3D"/>
    <w:rsid w:val="00954D99"/>
    <w:rsid w:val="009554C0"/>
    <w:rsid w:val="00961639"/>
    <w:rsid w:val="00962629"/>
    <w:rsid w:val="009632D9"/>
    <w:rsid w:val="0096401E"/>
    <w:rsid w:val="009652E6"/>
    <w:rsid w:val="00966573"/>
    <w:rsid w:val="009677B6"/>
    <w:rsid w:val="00971041"/>
    <w:rsid w:val="0097747C"/>
    <w:rsid w:val="00980C35"/>
    <w:rsid w:val="009837B1"/>
    <w:rsid w:val="00991C0D"/>
    <w:rsid w:val="00994E2D"/>
    <w:rsid w:val="00996E68"/>
    <w:rsid w:val="009974F8"/>
    <w:rsid w:val="009A0AA5"/>
    <w:rsid w:val="009A1BDA"/>
    <w:rsid w:val="009A45BC"/>
    <w:rsid w:val="009A49D9"/>
    <w:rsid w:val="009A55BF"/>
    <w:rsid w:val="009A57B6"/>
    <w:rsid w:val="009A75A9"/>
    <w:rsid w:val="009B1C43"/>
    <w:rsid w:val="009B36E3"/>
    <w:rsid w:val="009C0024"/>
    <w:rsid w:val="009C0A9F"/>
    <w:rsid w:val="009C1250"/>
    <w:rsid w:val="009C33F5"/>
    <w:rsid w:val="009C449A"/>
    <w:rsid w:val="009C4C42"/>
    <w:rsid w:val="009C760E"/>
    <w:rsid w:val="009D306C"/>
    <w:rsid w:val="009D4341"/>
    <w:rsid w:val="009D634A"/>
    <w:rsid w:val="009D6EAC"/>
    <w:rsid w:val="009E3DD1"/>
    <w:rsid w:val="009E6314"/>
    <w:rsid w:val="009E65C2"/>
    <w:rsid w:val="009E7327"/>
    <w:rsid w:val="009E7619"/>
    <w:rsid w:val="009F22F6"/>
    <w:rsid w:val="009F3D47"/>
    <w:rsid w:val="009F4CEB"/>
    <w:rsid w:val="009F4D59"/>
    <w:rsid w:val="009F6553"/>
    <w:rsid w:val="009F6B07"/>
    <w:rsid w:val="009F72F9"/>
    <w:rsid w:val="00A00174"/>
    <w:rsid w:val="00A01F63"/>
    <w:rsid w:val="00A0563B"/>
    <w:rsid w:val="00A05E97"/>
    <w:rsid w:val="00A06801"/>
    <w:rsid w:val="00A07590"/>
    <w:rsid w:val="00A07B04"/>
    <w:rsid w:val="00A07CC6"/>
    <w:rsid w:val="00A12C54"/>
    <w:rsid w:val="00A130FF"/>
    <w:rsid w:val="00A13281"/>
    <w:rsid w:val="00A14832"/>
    <w:rsid w:val="00A14DB1"/>
    <w:rsid w:val="00A1541A"/>
    <w:rsid w:val="00A16641"/>
    <w:rsid w:val="00A22567"/>
    <w:rsid w:val="00A25C37"/>
    <w:rsid w:val="00A26ED3"/>
    <w:rsid w:val="00A31B9F"/>
    <w:rsid w:val="00A31E3E"/>
    <w:rsid w:val="00A32770"/>
    <w:rsid w:val="00A33695"/>
    <w:rsid w:val="00A33DBA"/>
    <w:rsid w:val="00A409DD"/>
    <w:rsid w:val="00A40E7B"/>
    <w:rsid w:val="00A43A8C"/>
    <w:rsid w:val="00A45169"/>
    <w:rsid w:val="00A476D5"/>
    <w:rsid w:val="00A50D4E"/>
    <w:rsid w:val="00A5127C"/>
    <w:rsid w:val="00A53AE1"/>
    <w:rsid w:val="00A53B2B"/>
    <w:rsid w:val="00A54AD7"/>
    <w:rsid w:val="00A55069"/>
    <w:rsid w:val="00A55927"/>
    <w:rsid w:val="00A63984"/>
    <w:rsid w:val="00A64CC1"/>
    <w:rsid w:val="00A67398"/>
    <w:rsid w:val="00A71A54"/>
    <w:rsid w:val="00A71B89"/>
    <w:rsid w:val="00A742E7"/>
    <w:rsid w:val="00A75E7D"/>
    <w:rsid w:val="00A76229"/>
    <w:rsid w:val="00A80EC4"/>
    <w:rsid w:val="00A814A4"/>
    <w:rsid w:val="00A8727C"/>
    <w:rsid w:val="00A87D18"/>
    <w:rsid w:val="00A90C2E"/>
    <w:rsid w:val="00A913E7"/>
    <w:rsid w:val="00A9462E"/>
    <w:rsid w:val="00A972C8"/>
    <w:rsid w:val="00AA0728"/>
    <w:rsid w:val="00AA3323"/>
    <w:rsid w:val="00AA76AE"/>
    <w:rsid w:val="00AB0570"/>
    <w:rsid w:val="00AB11FD"/>
    <w:rsid w:val="00AB4059"/>
    <w:rsid w:val="00AB4388"/>
    <w:rsid w:val="00AB5928"/>
    <w:rsid w:val="00AB5CBE"/>
    <w:rsid w:val="00AB639B"/>
    <w:rsid w:val="00AC1104"/>
    <w:rsid w:val="00AC24DC"/>
    <w:rsid w:val="00AC2986"/>
    <w:rsid w:val="00AC729D"/>
    <w:rsid w:val="00AD163D"/>
    <w:rsid w:val="00AD491B"/>
    <w:rsid w:val="00AE0B1C"/>
    <w:rsid w:val="00AE216F"/>
    <w:rsid w:val="00AE22F5"/>
    <w:rsid w:val="00AE3ED1"/>
    <w:rsid w:val="00AE476B"/>
    <w:rsid w:val="00AE50AD"/>
    <w:rsid w:val="00AE6843"/>
    <w:rsid w:val="00AF0023"/>
    <w:rsid w:val="00AF109C"/>
    <w:rsid w:val="00AF2935"/>
    <w:rsid w:val="00AF6FC3"/>
    <w:rsid w:val="00B0026F"/>
    <w:rsid w:val="00B02031"/>
    <w:rsid w:val="00B02322"/>
    <w:rsid w:val="00B028EF"/>
    <w:rsid w:val="00B05FDE"/>
    <w:rsid w:val="00B06F0A"/>
    <w:rsid w:val="00B10F0A"/>
    <w:rsid w:val="00B13675"/>
    <w:rsid w:val="00B14367"/>
    <w:rsid w:val="00B154FD"/>
    <w:rsid w:val="00B17597"/>
    <w:rsid w:val="00B17C06"/>
    <w:rsid w:val="00B21BF4"/>
    <w:rsid w:val="00B236CE"/>
    <w:rsid w:val="00B33471"/>
    <w:rsid w:val="00B33C93"/>
    <w:rsid w:val="00B34CA6"/>
    <w:rsid w:val="00B36058"/>
    <w:rsid w:val="00B406F6"/>
    <w:rsid w:val="00B4636D"/>
    <w:rsid w:val="00B521C5"/>
    <w:rsid w:val="00B52869"/>
    <w:rsid w:val="00B53F85"/>
    <w:rsid w:val="00B54B10"/>
    <w:rsid w:val="00B562CB"/>
    <w:rsid w:val="00B5683E"/>
    <w:rsid w:val="00B56DD4"/>
    <w:rsid w:val="00B56E63"/>
    <w:rsid w:val="00B57CAF"/>
    <w:rsid w:val="00B60B5D"/>
    <w:rsid w:val="00B670BD"/>
    <w:rsid w:val="00B71882"/>
    <w:rsid w:val="00B71EC4"/>
    <w:rsid w:val="00B74BCA"/>
    <w:rsid w:val="00B751C6"/>
    <w:rsid w:val="00B801DA"/>
    <w:rsid w:val="00B81CF2"/>
    <w:rsid w:val="00B81DFC"/>
    <w:rsid w:val="00B83EC5"/>
    <w:rsid w:val="00B84261"/>
    <w:rsid w:val="00B8588B"/>
    <w:rsid w:val="00B87A26"/>
    <w:rsid w:val="00B90034"/>
    <w:rsid w:val="00B913A7"/>
    <w:rsid w:val="00B941A5"/>
    <w:rsid w:val="00BA017E"/>
    <w:rsid w:val="00BA0228"/>
    <w:rsid w:val="00BA0BBC"/>
    <w:rsid w:val="00BA613A"/>
    <w:rsid w:val="00BB0421"/>
    <w:rsid w:val="00BB4615"/>
    <w:rsid w:val="00BC2003"/>
    <w:rsid w:val="00BC2619"/>
    <w:rsid w:val="00BC35EA"/>
    <w:rsid w:val="00BC3F45"/>
    <w:rsid w:val="00BC55E9"/>
    <w:rsid w:val="00BC5A58"/>
    <w:rsid w:val="00BD1DB6"/>
    <w:rsid w:val="00BD34B5"/>
    <w:rsid w:val="00BD3C60"/>
    <w:rsid w:val="00BD4528"/>
    <w:rsid w:val="00BD6097"/>
    <w:rsid w:val="00BD6692"/>
    <w:rsid w:val="00BE1183"/>
    <w:rsid w:val="00BE21CC"/>
    <w:rsid w:val="00BE7935"/>
    <w:rsid w:val="00BF09E5"/>
    <w:rsid w:val="00BF2D73"/>
    <w:rsid w:val="00BF3B3C"/>
    <w:rsid w:val="00BF5930"/>
    <w:rsid w:val="00C03BCA"/>
    <w:rsid w:val="00C0421D"/>
    <w:rsid w:val="00C04461"/>
    <w:rsid w:val="00C151AC"/>
    <w:rsid w:val="00C16288"/>
    <w:rsid w:val="00C1787A"/>
    <w:rsid w:val="00C2353A"/>
    <w:rsid w:val="00C26F63"/>
    <w:rsid w:val="00C27319"/>
    <w:rsid w:val="00C30A1A"/>
    <w:rsid w:val="00C34421"/>
    <w:rsid w:val="00C37EBE"/>
    <w:rsid w:val="00C40B15"/>
    <w:rsid w:val="00C40B56"/>
    <w:rsid w:val="00C428F9"/>
    <w:rsid w:val="00C43082"/>
    <w:rsid w:val="00C45AF1"/>
    <w:rsid w:val="00C51A09"/>
    <w:rsid w:val="00C53823"/>
    <w:rsid w:val="00C566BC"/>
    <w:rsid w:val="00C620F1"/>
    <w:rsid w:val="00C62BE1"/>
    <w:rsid w:val="00C650F9"/>
    <w:rsid w:val="00C700F5"/>
    <w:rsid w:val="00C71064"/>
    <w:rsid w:val="00C74127"/>
    <w:rsid w:val="00C7747C"/>
    <w:rsid w:val="00C85A16"/>
    <w:rsid w:val="00C85B55"/>
    <w:rsid w:val="00C85BBE"/>
    <w:rsid w:val="00C85F21"/>
    <w:rsid w:val="00C86488"/>
    <w:rsid w:val="00C86898"/>
    <w:rsid w:val="00C868B1"/>
    <w:rsid w:val="00C91973"/>
    <w:rsid w:val="00C94ABC"/>
    <w:rsid w:val="00C96500"/>
    <w:rsid w:val="00CA2380"/>
    <w:rsid w:val="00CA315B"/>
    <w:rsid w:val="00CA55D4"/>
    <w:rsid w:val="00CA6E44"/>
    <w:rsid w:val="00CB06A1"/>
    <w:rsid w:val="00CB3ECF"/>
    <w:rsid w:val="00CB5342"/>
    <w:rsid w:val="00CB6B47"/>
    <w:rsid w:val="00CC274F"/>
    <w:rsid w:val="00CC34A1"/>
    <w:rsid w:val="00CC35AE"/>
    <w:rsid w:val="00CC3E43"/>
    <w:rsid w:val="00CC6027"/>
    <w:rsid w:val="00CD0A2C"/>
    <w:rsid w:val="00CD21F8"/>
    <w:rsid w:val="00CD75A1"/>
    <w:rsid w:val="00CD7B14"/>
    <w:rsid w:val="00CD7BD0"/>
    <w:rsid w:val="00CD7F99"/>
    <w:rsid w:val="00CE0408"/>
    <w:rsid w:val="00CE14DE"/>
    <w:rsid w:val="00CE3339"/>
    <w:rsid w:val="00CE4A71"/>
    <w:rsid w:val="00CF214A"/>
    <w:rsid w:val="00CF39EC"/>
    <w:rsid w:val="00CF65F1"/>
    <w:rsid w:val="00CF65FA"/>
    <w:rsid w:val="00D00CE2"/>
    <w:rsid w:val="00D04825"/>
    <w:rsid w:val="00D07DEC"/>
    <w:rsid w:val="00D12059"/>
    <w:rsid w:val="00D12E3E"/>
    <w:rsid w:val="00D13931"/>
    <w:rsid w:val="00D14360"/>
    <w:rsid w:val="00D22B6E"/>
    <w:rsid w:val="00D237C4"/>
    <w:rsid w:val="00D23F0F"/>
    <w:rsid w:val="00D311BD"/>
    <w:rsid w:val="00D317E1"/>
    <w:rsid w:val="00D368EE"/>
    <w:rsid w:val="00D40123"/>
    <w:rsid w:val="00D41E1D"/>
    <w:rsid w:val="00D50679"/>
    <w:rsid w:val="00D55058"/>
    <w:rsid w:val="00D565E0"/>
    <w:rsid w:val="00D636D5"/>
    <w:rsid w:val="00D66B17"/>
    <w:rsid w:val="00D739DC"/>
    <w:rsid w:val="00D73CD0"/>
    <w:rsid w:val="00D760E6"/>
    <w:rsid w:val="00D80B89"/>
    <w:rsid w:val="00D80E98"/>
    <w:rsid w:val="00D8469E"/>
    <w:rsid w:val="00D84F05"/>
    <w:rsid w:val="00D86FB3"/>
    <w:rsid w:val="00D87498"/>
    <w:rsid w:val="00D877CB"/>
    <w:rsid w:val="00D92F2E"/>
    <w:rsid w:val="00D96124"/>
    <w:rsid w:val="00D97C48"/>
    <w:rsid w:val="00DA2863"/>
    <w:rsid w:val="00DA3BAE"/>
    <w:rsid w:val="00DA420C"/>
    <w:rsid w:val="00DA486D"/>
    <w:rsid w:val="00DA518D"/>
    <w:rsid w:val="00DB11EF"/>
    <w:rsid w:val="00DB2982"/>
    <w:rsid w:val="00DB368D"/>
    <w:rsid w:val="00DB3CCE"/>
    <w:rsid w:val="00DB696F"/>
    <w:rsid w:val="00DB6FF3"/>
    <w:rsid w:val="00DB76CF"/>
    <w:rsid w:val="00DC2CF4"/>
    <w:rsid w:val="00DD5730"/>
    <w:rsid w:val="00DD6C57"/>
    <w:rsid w:val="00DD7991"/>
    <w:rsid w:val="00DD7B80"/>
    <w:rsid w:val="00DE6416"/>
    <w:rsid w:val="00DF2159"/>
    <w:rsid w:val="00DF24C5"/>
    <w:rsid w:val="00DF255D"/>
    <w:rsid w:val="00DF3D74"/>
    <w:rsid w:val="00DF68C8"/>
    <w:rsid w:val="00E003E3"/>
    <w:rsid w:val="00E04ED8"/>
    <w:rsid w:val="00E06715"/>
    <w:rsid w:val="00E06CD4"/>
    <w:rsid w:val="00E07FF4"/>
    <w:rsid w:val="00E128A8"/>
    <w:rsid w:val="00E12AC6"/>
    <w:rsid w:val="00E14767"/>
    <w:rsid w:val="00E148FD"/>
    <w:rsid w:val="00E17A6E"/>
    <w:rsid w:val="00E239D5"/>
    <w:rsid w:val="00E23A68"/>
    <w:rsid w:val="00E25992"/>
    <w:rsid w:val="00E273DB"/>
    <w:rsid w:val="00E27B55"/>
    <w:rsid w:val="00E33B55"/>
    <w:rsid w:val="00E33FA3"/>
    <w:rsid w:val="00E34346"/>
    <w:rsid w:val="00E3500D"/>
    <w:rsid w:val="00E40444"/>
    <w:rsid w:val="00E40C1B"/>
    <w:rsid w:val="00E43DD2"/>
    <w:rsid w:val="00E4601D"/>
    <w:rsid w:val="00E5535E"/>
    <w:rsid w:val="00E57047"/>
    <w:rsid w:val="00E570CC"/>
    <w:rsid w:val="00E57BDA"/>
    <w:rsid w:val="00E605EA"/>
    <w:rsid w:val="00E60F9F"/>
    <w:rsid w:val="00E653BD"/>
    <w:rsid w:val="00E65706"/>
    <w:rsid w:val="00E65962"/>
    <w:rsid w:val="00E6598B"/>
    <w:rsid w:val="00E65E00"/>
    <w:rsid w:val="00E66027"/>
    <w:rsid w:val="00E66899"/>
    <w:rsid w:val="00E74525"/>
    <w:rsid w:val="00E759D7"/>
    <w:rsid w:val="00E775EA"/>
    <w:rsid w:val="00E84D3F"/>
    <w:rsid w:val="00E84E42"/>
    <w:rsid w:val="00E86A7E"/>
    <w:rsid w:val="00E87ECF"/>
    <w:rsid w:val="00E926FA"/>
    <w:rsid w:val="00E943E5"/>
    <w:rsid w:val="00E9585B"/>
    <w:rsid w:val="00EA27C5"/>
    <w:rsid w:val="00EA3790"/>
    <w:rsid w:val="00EA41E9"/>
    <w:rsid w:val="00EA5E03"/>
    <w:rsid w:val="00EB00CD"/>
    <w:rsid w:val="00EB10CE"/>
    <w:rsid w:val="00EB1E4E"/>
    <w:rsid w:val="00EB1FA3"/>
    <w:rsid w:val="00EB2029"/>
    <w:rsid w:val="00EB2EBE"/>
    <w:rsid w:val="00EB7D48"/>
    <w:rsid w:val="00EC088D"/>
    <w:rsid w:val="00EC25A8"/>
    <w:rsid w:val="00EC34EA"/>
    <w:rsid w:val="00EC5799"/>
    <w:rsid w:val="00EC5E56"/>
    <w:rsid w:val="00ED3B0D"/>
    <w:rsid w:val="00ED55BB"/>
    <w:rsid w:val="00ED6001"/>
    <w:rsid w:val="00EE0327"/>
    <w:rsid w:val="00EE0DDA"/>
    <w:rsid w:val="00EE1511"/>
    <w:rsid w:val="00EE1BF5"/>
    <w:rsid w:val="00EE1F4D"/>
    <w:rsid w:val="00EE2AF3"/>
    <w:rsid w:val="00EE38E9"/>
    <w:rsid w:val="00EF2F73"/>
    <w:rsid w:val="00EF3144"/>
    <w:rsid w:val="00EF526A"/>
    <w:rsid w:val="00EF52F0"/>
    <w:rsid w:val="00EF5462"/>
    <w:rsid w:val="00EF5630"/>
    <w:rsid w:val="00EF750C"/>
    <w:rsid w:val="00F02F3F"/>
    <w:rsid w:val="00F04BB1"/>
    <w:rsid w:val="00F05F75"/>
    <w:rsid w:val="00F0622E"/>
    <w:rsid w:val="00F07D42"/>
    <w:rsid w:val="00F134C8"/>
    <w:rsid w:val="00F16533"/>
    <w:rsid w:val="00F16933"/>
    <w:rsid w:val="00F17B22"/>
    <w:rsid w:val="00F2084D"/>
    <w:rsid w:val="00F20B32"/>
    <w:rsid w:val="00F24945"/>
    <w:rsid w:val="00F24CF7"/>
    <w:rsid w:val="00F3201C"/>
    <w:rsid w:val="00F32701"/>
    <w:rsid w:val="00F32D77"/>
    <w:rsid w:val="00F33217"/>
    <w:rsid w:val="00F33996"/>
    <w:rsid w:val="00F351A2"/>
    <w:rsid w:val="00F35693"/>
    <w:rsid w:val="00F376F6"/>
    <w:rsid w:val="00F42317"/>
    <w:rsid w:val="00F44F66"/>
    <w:rsid w:val="00F468F5"/>
    <w:rsid w:val="00F52880"/>
    <w:rsid w:val="00F5519A"/>
    <w:rsid w:val="00F55646"/>
    <w:rsid w:val="00F55A01"/>
    <w:rsid w:val="00F612E4"/>
    <w:rsid w:val="00F62A33"/>
    <w:rsid w:val="00F64622"/>
    <w:rsid w:val="00F64C94"/>
    <w:rsid w:val="00F74211"/>
    <w:rsid w:val="00F757F1"/>
    <w:rsid w:val="00F75B76"/>
    <w:rsid w:val="00F9127B"/>
    <w:rsid w:val="00F9199C"/>
    <w:rsid w:val="00FA0633"/>
    <w:rsid w:val="00FA2130"/>
    <w:rsid w:val="00FA343B"/>
    <w:rsid w:val="00FA6A1C"/>
    <w:rsid w:val="00FB057B"/>
    <w:rsid w:val="00FB3259"/>
    <w:rsid w:val="00FB3D3B"/>
    <w:rsid w:val="00FB42EC"/>
    <w:rsid w:val="00FB7F5C"/>
    <w:rsid w:val="00FB7FFB"/>
    <w:rsid w:val="00FC0977"/>
    <w:rsid w:val="00FC0C4B"/>
    <w:rsid w:val="00FC2752"/>
    <w:rsid w:val="00FC4425"/>
    <w:rsid w:val="00FC4B4F"/>
    <w:rsid w:val="00FC52AA"/>
    <w:rsid w:val="00FC57C5"/>
    <w:rsid w:val="00FC59F9"/>
    <w:rsid w:val="00FC66D8"/>
    <w:rsid w:val="00FD025F"/>
    <w:rsid w:val="00FD65E7"/>
    <w:rsid w:val="00FD6720"/>
    <w:rsid w:val="00FD680D"/>
    <w:rsid w:val="00FE14D5"/>
    <w:rsid w:val="00FE1A0F"/>
    <w:rsid w:val="00FE31FC"/>
    <w:rsid w:val="00FE4EB7"/>
    <w:rsid w:val="00FE65E6"/>
    <w:rsid w:val="00FF27C5"/>
    <w:rsid w:val="00FF508F"/>
    <w:rsid w:val="00FF50AC"/>
    <w:rsid w:val="00FF6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31145,#fffddf,#ffecd6"/>
    </o:shapedefaults>
    <o:shapelayout v:ext="edit">
      <o:idmap v:ext="edit" data="1"/>
    </o:shapelayout>
  </w:shapeDefaults>
  <w:decimalSymbol w:val="."/>
  <w:listSeparator w:val=","/>
  <w14:docId w14:val="18FAFE3E"/>
  <w15:docId w15:val="{FFC49D89-5F30-403F-8636-300540C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9028CB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99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basedOn w:val="Heading2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basedOn w:val="DefaultParagraphFont"/>
    <w:uiPriority w:val="99"/>
    <w:rsid w:val="00AB4059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basedOn w:val="DefaultParagraphFont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B4059"/>
    <w:pPr>
      <w:ind w:left="1920"/>
    </w:pPr>
  </w:style>
  <w:style w:type="character" w:styleId="EndnoteReference">
    <w:name w:val="endnote reference"/>
    <w:basedOn w:val="DefaultParagraphFont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9028CB"/>
    <w:rPr>
      <w:rFonts w:eastAsia="Times New Roman" w:cs="Helvetica-Light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4228"/>
    <w:pPr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customStyle="1" w:styleId="BTLSnormal">
    <w:name w:val="BTLS normal"/>
    <w:basedOn w:val="Normal"/>
    <w:link w:val="BTLSnormalChar"/>
    <w:qFormat/>
    <w:rsid w:val="00EB1E4E"/>
    <w:pPr>
      <w:tabs>
        <w:tab w:val="left" w:pos="9540"/>
        <w:tab w:val="left" w:pos="9720"/>
      </w:tabs>
      <w:autoSpaceDE/>
      <w:autoSpaceDN/>
      <w:adjustRightInd/>
      <w:spacing w:line="276" w:lineRule="auto"/>
    </w:pPr>
    <w:rPr>
      <w:rFonts w:ascii="Calibri" w:hAnsi="Calibri" w:cs="Times New Roman"/>
      <w:color w:val="auto"/>
      <w:szCs w:val="22"/>
      <w:lang w:eastAsia="en-GB"/>
    </w:rPr>
  </w:style>
  <w:style w:type="character" w:customStyle="1" w:styleId="BTLSnormalChar">
    <w:name w:val="BTLS normal Char"/>
    <w:link w:val="BTLSnormal"/>
    <w:rsid w:val="00EB1E4E"/>
    <w:rPr>
      <w:rFonts w:ascii="Calibri" w:eastAsia="Calibri" w:hAnsi="Calibri"/>
      <w:sz w:val="24"/>
      <w:szCs w:val="22"/>
    </w:rPr>
  </w:style>
  <w:style w:type="paragraph" w:styleId="NormalWeb">
    <w:name w:val="Normal (Web)"/>
    <w:basedOn w:val="Normal"/>
    <w:uiPriority w:val="99"/>
    <w:unhideWhenUsed/>
    <w:rsid w:val="000A3809"/>
    <w:pPr>
      <w:autoSpaceDE/>
      <w:autoSpaceDN/>
      <w:adjustRightInd/>
      <w:spacing w:before="100" w:beforeAutospacing="1" w:after="240"/>
      <w:jc w:val="left"/>
    </w:pPr>
    <w:rPr>
      <w:rFonts w:ascii="Times New Roman" w:eastAsiaTheme="minorHAnsi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rsid w:val="005468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6B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6B"/>
    <w:rPr>
      <w:rFonts w:eastAsia="Calibri" w:cs="Helvetica-Light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6B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customStyle="1" w:styleId="Default">
    <w:name w:val="Default"/>
    <w:rsid w:val="0037393E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legds2">
    <w:name w:val="legds2"/>
    <w:basedOn w:val="DefaultParagraphFont"/>
    <w:rsid w:val="0037393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37393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37393E"/>
    <w:pPr>
      <w:shd w:val="clear" w:color="auto" w:fill="FFFFFF"/>
      <w:autoSpaceDE/>
      <w:autoSpaceDN/>
      <w:adjustRightInd/>
      <w:spacing w:line="360" w:lineRule="atLeast"/>
      <w:jc w:val="lef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37393E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37393E"/>
  </w:style>
  <w:style w:type="character" w:styleId="Strong">
    <w:name w:val="Strong"/>
    <w:basedOn w:val="DefaultParagraphFont"/>
    <w:uiPriority w:val="22"/>
    <w:qFormat/>
    <w:rsid w:val="0037393E"/>
    <w:rPr>
      <w:b/>
      <w:bCs/>
    </w:rPr>
  </w:style>
  <w:style w:type="paragraph" w:styleId="NoSpacing">
    <w:name w:val="No Spacing"/>
    <w:qFormat/>
    <w:rsid w:val="00EB00CD"/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rsid w:val="00EB00CD"/>
    <w:pPr>
      <w:spacing w:after="200" w:line="276" w:lineRule="auto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30">
    <w:name w:val="Import Word List Style Definition 30"/>
    <w:rsid w:val="00EB00CD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19">
    <w:name w:val="Import Word List Style Definition 19"/>
    <w:rsid w:val="00EB00CD"/>
    <w:pPr>
      <w:numPr>
        <w:numId w:val="6"/>
      </w:numPr>
    </w:pPr>
    <w:rPr>
      <w:rFonts w:ascii="Times New Roman" w:eastAsia="Times New Roman" w:hAnsi="Times New Roman"/>
    </w:rPr>
  </w:style>
  <w:style w:type="paragraph" w:customStyle="1" w:styleId="ImportWordListStyleDefinition1">
    <w:name w:val="Import Word List Style Definition 1"/>
    <w:rsid w:val="00EB00CD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List1">
    <w:name w:val="List 1"/>
    <w:basedOn w:val="ImportWordListStyleDefinition1"/>
    <w:semiHidden/>
    <w:rsid w:val="00EB00CD"/>
    <w:pPr>
      <w:numPr>
        <w:numId w:val="8"/>
      </w:numPr>
    </w:pPr>
  </w:style>
  <w:style w:type="paragraph" w:customStyle="1" w:styleId="ImportWordListStyleDefinition13">
    <w:name w:val="Import Word List Style Definition 13"/>
    <w:rsid w:val="00EB00CD"/>
    <w:pPr>
      <w:numPr>
        <w:numId w:val="9"/>
      </w:numPr>
    </w:pPr>
    <w:rPr>
      <w:rFonts w:ascii="Times New Roman" w:eastAsia="Times New Roman" w:hAnsi="Times New Roman"/>
    </w:rPr>
  </w:style>
  <w:style w:type="paragraph" w:customStyle="1" w:styleId="ImportWordListStyleDefinition25">
    <w:name w:val="Import Word List Style Definition 25"/>
    <w:rsid w:val="00EB00CD"/>
    <w:pPr>
      <w:numPr>
        <w:numId w:val="10"/>
      </w:numPr>
    </w:pPr>
    <w:rPr>
      <w:rFonts w:ascii="Times New Roman" w:eastAsia="Times New Roman" w:hAnsi="Times New Roman"/>
    </w:rPr>
  </w:style>
  <w:style w:type="paragraph" w:customStyle="1" w:styleId="ImportWordListStyleDefinition17">
    <w:name w:val="Import Word List Style Definition 17"/>
    <w:rsid w:val="00EB00CD"/>
    <w:pPr>
      <w:numPr>
        <w:numId w:val="11"/>
      </w:numPr>
    </w:pPr>
    <w:rPr>
      <w:rFonts w:ascii="Times New Roman" w:eastAsia="Times New Roman" w:hAnsi="Times New Roman"/>
    </w:rPr>
  </w:style>
  <w:style w:type="paragraph" w:customStyle="1" w:styleId="ImportWordListStyleDefinition5">
    <w:name w:val="Import Word List Style Definition 5"/>
    <w:rsid w:val="00EB00CD"/>
    <w:pPr>
      <w:numPr>
        <w:numId w:val="12"/>
      </w:numPr>
    </w:pPr>
    <w:rPr>
      <w:rFonts w:ascii="Times New Roman" w:eastAsia="Times New Roman" w:hAnsi="Times New Roman"/>
    </w:rPr>
  </w:style>
  <w:style w:type="paragraph" w:customStyle="1" w:styleId="body10">
    <w:name w:val="body1"/>
    <w:basedOn w:val="Normal"/>
    <w:rsid w:val="00EB00CD"/>
    <w:pPr>
      <w:autoSpaceDE/>
      <w:autoSpaceDN/>
      <w:adjustRightInd/>
      <w:spacing w:after="200" w:line="276" w:lineRule="auto"/>
      <w:jc w:val="left"/>
    </w:pPr>
    <w:rPr>
      <w:rFonts w:eastAsiaTheme="minorHAnsi" w:cs="Arial"/>
      <w:lang w:eastAsia="en-GB"/>
    </w:rPr>
  </w:style>
  <w:style w:type="paragraph" w:customStyle="1" w:styleId="Body">
    <w:name w:val="Body"/>
    <w:rsid w:val="00EB00CD"/>
    <w:pP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lang w:val="fr-FR"/>
    </w:rPr>
  </w:style>
  <w:style w:type="table" w:customStyle="1" w:styleId="TableGrid1">
    <w:name w:val="Table Grid1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1">
    <w:name w:val="List 21"/>
    <w:basedOn w:val="ImportWordListStyleDefinition17"/>
    <w:semiHidden/>
    <w:rsid w:val="00EB00CD"/>
    <w:pPr>
      <w:numPr>
        <w:numId w:val="13"/>
      </w:numPr>
    </w:pPr>
  </w:style>
  <w:style w:type="paragraph" w:customStyle="1" w:styleId="List0">
    <w:name w:val="List 0"/>
    <w:basedOn w:val="ImportWordListStyleDefinition1"/>
    <w:semiHidden/>
    <w:rsid w:val="00EB00CD"/>
    <w:pPr>
      <w:numPr>
        <w:numId w:val="14"/>
      </w:numPr>
      <w:ind w:left="720" w:hanging="360"/>
    </w:pPr>
  </w:style>
  <w:style w:type="paragraph" w:styleId="BlockText">
    <w:name w:val="Block Text"/>
    <w:basedOn w:val="Normal"/>
    <w:semiHidden/>
    <w:unhideWhenUsed/>
    <w:rsid w:val="00B136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B1367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1367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1367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1367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675"/>
    <w:rPr>
      <w:rFonts w:ascii="Segoe UI" w:eastAsia="Calibri" w:hAnsi="Segoe UI" w:cs="Segoe UI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67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367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1367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67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675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675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675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675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675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675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675"/>
    <w:pPr>
      <w:spacing w:after="0"/>
      <w:ind w:left="144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6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675"/>
    <w:rPr>
      <w:rFonts w:eastAsia="Calibri" w:cs="Helvetica-Light"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13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67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367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3675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3675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3675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3675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67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67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67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67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67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3675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3675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3675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3675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3675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3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nsolas" w:eastAsia="Calibri" w:hAnsi="Consolas" w:cs="Helvetica-Light"/>
      <w:color w:val="00000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675"/>
    <w:rPr>
      <w:rFonts w:ascii="Consolas" w:eastAsia="Calibri" w:hAnsi="Consolas" w:cs="Helvetica-Light"/>
      <w:color w:val="00000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67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367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367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675"/>
    <w:rPr>
      <w:rFonts w:ascii="Consolas" w:eastAsia="Calibri" w:hAnsi="Consolas" w:cs="Helvetica-Light"/>
      <w:color w:val="000000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67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3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86">
              <w:marLeft w:val="0"/>
              <w:marRight w:val="0"/>
              <w:marTop w:val="83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swell001\Local%20Settings\Temporary%20Internet%20Files\Content.IE5\7BRXSR7D\Full%20Report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024B-B9CF-4454-9E58-F5F53AF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Template[1].dot</Template>
  <TotalTime>1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13704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http://lccintranet2/corporate/web/?siteid=4180&amp;pageid=17582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tboswell001</dc:creator>
  <cp:keywords/>
  <dc:description/>
  <cp:lastModifiedBy>Evenson, Maya</cp:lastModifiedBy>
  <cp:revision>3</cp:revision>
  <cp:lastPrinted>2016-01-11T09:40:00Z</cp:lastPrinted>
  <dcterms:created xsi:type="dcterms:W3CDTF">2016-01-12T09:57:00Z</dcterms:created>
  <dcterms:modified xsi:type="dcterms:W3CDTF">2016-01-12T10:56:00Z</dcterms:modified>
</cp:coreProperties>
</file>